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85" w:rsidRPr="001038F8" w:rsidRDefault="00743485" w:rsidP="00743485">
      <w:pPr>
        <w:pStyle w:val="Heading2"/>
        <w:rPr>
          <w:rFonts w:ascii="Tahoma" w:hAnsi="Tahoma" w:cs="Tahoma"/>
          <w:sz w:val="22"/>
          <w:szCs w:val="22"/>
        </w:rPr>
      </w:pPr>
      <w:r w:rsidRPr="001038F8">
        <w:rPr>
          <w:rFonts w:ascii="Tahoma" w:hAnsi="Tahoma" w:cs="Tahoma"/>
          <w:sz w:val="22"/>
          <w:szCs w:val="22"/>
        </w:rPr>
        <w:t>KLINIČKI BOLNIČKI CENTAR ZAGREB</w:t>
      </w:r>
    </w:p>
    <w:p w:rsidR="00743485" w:rsidRPr="001038F8" w:rsidRDefault="00743485" w:rsidP="00743485">
      <w:pPr>
        <w:jc w:val="both"/>
        <w:rPr>
          <w:rFonts w:ascii="Tahoma" w:hAnsi="Tahoma" w:cs="Tahoma"/>
          <w:b/>
          <w:sz w:val="22"/>
          <w:szCs w:val="22"/>
        </w:rPr>
      </w:pPr>
      <w:r w:rsidRPr="001038F8">
        <w:rPr>
          <w:rFonts w:ascii="Tahoma" w:hAnsi="Tahoma" w:cs="Tahoma"/>
          <w:b/>
          <w:sz w:val="22"/>
          <w:szCs w:val="22"/>
        </w:rPr>
        <w:t xml:space="preserve">10000 ZAGREB, </w:t>
      </w:r>
      <w:proofErr w:type="spellStart"/>
      <w:r w:rsidRPr="001038F8">
        <w:rPr>
          <w:rFonts w:ascii="Tahoma" w:hAnsi="Tahoma" w:cs="Tahoma"/>
          <w:b/>
          <w:sz w:val="22"/>
          <w:szCs w:val="22"/>
        </w:rPr>
        <w:t>Kišpatićeva</w:t>
      </w:r>
      <w:proofErr w:type="spellEnd"/>
      <w:r w:rsidRPr="001038F8">
        <w:rPr>
          <w:rFonts w:ascii="Tahoma" w:hAnsi="Tahoma" w:cs="Tahoma"/>
          <w:b/>
          <w:sz w:val="22"/>
          <w:szCs w:val="22"/>
        </w:rPr>
        <w:t xml:space="preserve"> 12</w:t>
      </w:r>
    </w:p>
    <w:p w:rsidR="00743485" w:rsidRDefault="00743485" w:rsidP="00743485">
      <w:pPr>
        <w:jc w:val="both"/>
        <w:rPr>
          <w:rFonts w:ascii="Tahoma" w:hAnsi="Tahoma" w:cs="Tahoma"/>
          <w:sz w:val="22"/>
          <w:szCs w:val="22"/>
        </w:rPr>
      </w:pPr>
    </w:p>
    <w:tbl>
      <w:tblPr>
        <w:tblStyle w:val="TableGrid"/>
        <w:tblW w:w="0" w:type="auto"/>
        <w:tblLook w:val="04A0" w:firstRow="1" w:lastRow="0" w:firstColumn="1" w:lastColumn="0" w:noHBand="0" w:noVBand="1"/>
      </w:tblPr>
      <w:tblGrid>
        <w:gridCol w:w="4928"/>
        <w:gridCol w:w="3793"/>
      </w:tblGrid>
      <w:tr w:rsidR="00743485" w:rsidRPr="004E687E" w:rsidTr="004E687E">
        <w:tc>
          <w:tcPr>
            <w:tcW w:w="4928" w:type="dxa"/>
          </w:tcPr>
          <w:p w:rsidR="00743485" w:rsidRPr="004E687E" w:rsidRDefault="00743485" w:rsidP="004E687E">
            <w:pPr>
              <w:jc w:val="both"/>
              <w:rPr>
                <w:rFonts w:ascii="Tahoma" w:hAnsi="Tahoma" w:cs="Tahoma"/>
                <w:sz w:val="22"/>
                <w:szCs w:val="22"/>
              </w:rPr>
            </w:pPr>
            <w:r w:rsidRPr="004E687E">
              <w:rPr>
                <w:rFonts w:ascii="Tahoma" w:hAnsi="Tahoma" w:cs="Tahoma"/>
                <w:sz w:val="22"/>
                <w:szCs w:val="22"/>
              </w:rPr>
              <w:t>Šifra grada/općine: 133</w:t>
            </w:r>
          </w:p>
        </w:tc>
        <w:tc>
          <w:tcPr>
            <w:tcW w:w="3793" w:type="dxa"/>
          </w:tcPr>
          <w:p w:rsidR="00743485" w:rsidRPr="004E687E" w:rsidRDefault="00743485" w:rsidP="004E687E">
            <w:pPr>
              <w:jc w:val="both"/>
              <w:rPr>
                <w:rFonts w:ascii="Tahoma" w:hAnsi="Tahoma" w:cs="Tahoma"/>
                <w:sz w:val="22"/>
                <w:szCs w:val="22"/>
              </w:rPr>
            </w:pPr>
            <w:r w:rsidRPr="004E687E">
              <w:rPr>
                <w:rFonts w:ascii="Tahoma" w:hAnsi="Tahoma" w:cs="Tahoma"/>
                <w:sz w:val="22"/>
                <w:szCs w:val="22"/>
              </w:rPr>
              <w:t>Razina: 11</w:t>
            </w:r>
          </w:p>
        </w:tc>
      </w:tr>
      <w:tr w:rsidR="00743485" w:rsidRPr="004E687E" w:rsidTr="004E687E">
        <w:tc>
          <w:tcPr>
            <w:tcW w:w="4928" w:type="dxa"/>
          </w:tcPr>
          <w:p w:rsidR="00743485" w:rsidRPr="004E687E" w:rsidRDefault="00743485" w:rsidP="004E687E">
            <w:pPr>
              <w:jc w:val="both"/>
              <w:rPr>
                <w:rFonts w:ascii="Tahoma" w:hAnsi="Tahoma" w:cs="Tahoma"/>
                <w:sz w:val="22"/>
                <w:szCs w:val="22"/>
              </w:rPr>
            </w:pPr>
            <w:r w:rsidRPr="004E687E">
              <w:rPr>
                <w:rFonts w:ascii="Tahoma" w:hAnsi="Tahoma" w:cs="Tahoma"/>
                <w:sz w:val="22"/>
                <w:szCs w:val="22"/>
              </w:rPr>
              <w:t>Broj RKP-a: 38069</w:t>
            </w:r>
          </w:p>
        </w:tc>
        <w:tc>
          <w:tcPr>
            <w:tcW w:w="3793" w:type="dxa"/>
          </w:tcPr>
          <w:p w:rsidR="00743485" w:rsidRPr="004E687E" w:rsidRDefault="00743485" w:rsidP="004E687E">
            <w:pPr>
              <w:jc w:val="both"/>
              <w:rPr>
                <w:rFonts w:ascii="Tahoma" w:hAnsi="Tahoma" w:cs="Tahoma"/>
                <w:sz w:val="22"/>
                <w:szCs w:val="22"/>
              </w:rPr>
            </w:pPr>
            <w:r w:rsidRPr="004E687E">
              <w:rPr>
                <w:rFonts w:ascii="Tahoma" w:hAnsi="Tahoma" w:cs="Tahoma"/>
                <w:sz w:val="22"/>
                <w:szCs w:val="22"/>
              </w:rPr>
              <w:t>Razdjel: 096</w:t>
            </w:r>
          </w:p>
        </w:tc>
      </w:tr>
      <w:tr w:rsidR="00743485" w:rsidRPr="004E687E" w:rsidTr="004E687E">
        <w:tc>
          <w:tcPr>
            <w:tcW w:w="4928" w:type="dxa"/>
          </w:tcPr>
          <w:p w:rsidR="00743485" w:rsidRPr="004E687E" w:rsidRDefault="00743485" w:rsidP="004E687E">
            <w:pPr>
              <w:jc w:val="both"/>
              <w:rPr>
                <w:rFonts w:ascii="Tahoma" w:hAnsi="Tahoma" w:cs="Tahoma"/>
                <w:sz w:val="22"/>
                <w:szCs w:val="22"/>
              </w:rPr>
            </w:pPr>
            <w:r w:rsidRPr="004E687E">
              <w:rPr>
                <w:rFonts w:ascii="Tahoma" w:hAnsi="Tahoma" w:cs="Tahoma"/>
                <w:sz w:val="22"/>
                <w:szCs w:val="22"/>
              </w:rPr>
              <w:t>Matični broj: 03270777</w:t>
            </w:r>
          </w:p>
        </w:tc>
        <w:tc>
          <w:tcPr>
            <w:tcW w:w="3793" w:type="dxa"/>
          </w:tcPr>
          <w:p w:rsidR="00743485" w:rsidRPr="004E687E" w:rsidRDefault="00743485" w:rsidP="004E687E">
            <w:pPr>
              <w:jc w:val="both"/>
              <w:rPr>
                <w:rFonts w:ascii="Tahoma" w:hAnsi="Tahoma" w:cs="Tahoma"/>
                <w:sz w:val="22"/>
                <w:szCs w:val="22"/>
              </w:rPr>
            </w:pPr>
            <w:r w:rsidRPr="004E687E">
              <w:rPr>
                <w:rFonts w:ascii="Tahoma" w:hAnsi="Tahoma" w:cs="Tahoma"/>
                <w:sz w:val="22"/>
                <w:szCs w:val="22"/>
              </w:rPr>
              <w:t>Šifra djelatnosti: 8610</w:t>
            </w:r>
          </w:p>
        </w:tc>
      </w:tr>
      <w:tr w:rsidR="00743485" w:rsidRPr="004E687E" w:rsidTr="004E687E">
        <w:tc>
          <w:tcPr>
            <w:tcW w:w="4928" w:type="dxa"/>
          </w:tcPr>
          <w:p w:rsidR="00743485" w:rsidRPr="004E687E" w:rsidRDefault="00743485" w:rsidP="004E687E">
            <w:pPr>
              <w:jc w:val="both"/>
              <w:rPr>
                <w:rFonts w:ascii="Tahoma" w:hAnsi="Tahoma" w:cs="Tahoma"/>
                <w:sz w:val="22"/>
                <w:szCs w:val="22"/>
              </w:rPr>
            </w:pPr>
            <w:r w:rsidRPr="004E687E">
              <w:rPr>
                <w:rFonts w:ascii="Tahoma" w:hAnsi="Tahoma" w:cs="Tahoma"/>
                <w:sz w:val="22"/>
                <w:szCs w:val="22"/>
              </w:rPr>
              <w:t>OIB: 46377257342</w:t>
            </w:r>
          </w:p>
        </w:tc>
        <w:tc>
          <w:tcPr>
            <w:tcW w:w="3793" w:type="dxa"/>
          </w:tcPr>
          <w:p w:rsidR="00743485" w:rsidRPr="004E687E" w:rsidRDefault="00743485" w:rsidP="004E687E">
            <w:pPr>
              <w:jc w:val="both"/>
              <w:rPr>
                <w:rFonts w:ascii="Tahoma" w:hAnsi="Tahoma" w:cs="Tahoma"/>
                <w:sz w:val="22"/>
                <w:szCs w:val="22"/>
              </w:rPr>
            </w:pPr>
            <w:r w:rsidRPr="004E687E">
              <w:rPr>
                <w:rFonts w:ascii="Tahoma" w:hAnsi="Tahoma" w:cs="Tahoma"/>
                <w:sz w:val="22"/>
                <w:szCs w:val="22"/>
              </w:rPr>
              <w:t>Oznaka razdoblja: 2023-12</w:t>
            </w:r>
          </w:p>
        </w:tc>
      </w:tr>
    </w:tbl>
    <w:p w:rsidR="00743485" w:rsidRPr="004E687E" w:rsidRDefault="00743485" w:rsidP="00743485">
      <w:pPr>
        <w:jc w:val="both"/>
        <w:rPr>
          <w:rFonts w:ascii="Tahoma" w:hAnsi="Tahoma" w:cs="Tahoma"/>
          <w:sz w:val="22"/>
          <w:szCs w:val="22"/>
        </w:rPr>
      </w:pPr>
    </w:p>
    <w:p w:rsidR="00743485" w:rsidRPr="004E687E" w:rsidRDefault="00743485" w:rsidP="00743485">
      <w:pPr>
        <w:jc w:val="both"/>
        <w:rPr>
          <w:rFonts w:ascii="Tahoma" w:hAnsi="Tahoma" w:cs="Tahoma"/>
          <w:sz w:val="22"/>
          <w:szCs w:val="22"/>
        </w:rPr>
      </w:pPr>
      <w:r w:rsidRPr="004E687E">
        <w:rPr>
          <w:rFonts w:ascii="Tahoma" w:hAnsi="Tahoma" w:cs="Tahoma"/>
          <w:sz w:val="22"/>
          <w:szCs w:val="22"/>
        </w:rPr>
        <w:t>Zagreb, 31. siječnja 2024.</w:t>
      </w:r>
    </w:p>
    <w:p w:rsidR="00743485" w:rsidRPr="004E687E" w:rsidRDefault="00743485" w:rsidP="00743485">
      <w:pPr>
        <w:jc w:val="both"/>
        <w:rPr>
          <w:rFonts w:ascii="Tahoma" w:hAnsi="Tahoma" w:cs="Tahoma"/>
          <w:sz w:val="22"/>
          <w:szCs w:val="22"/>
        </w:rPr>
      </w:pPr>
    </w:p>
    <w:p w:rsidR="00743485" w:rsidRPr="004E687E" w:rsidRDefault="00743485" w:rsidP="00743485">
      <w:pPr>
        <w:pStyle w:val="Heading3"/>
        <w:ind w:left="720"/>
        <w:rPr>
          <w:rFonts w:ascii="Tahoma" w:hAnsi="Tahoma" w:cs="Tahoma"/>
          <w:sz w:val="28"/>
          <w:szCs w:val="28"/>
        </w:rPr>
      </w:pPr>
      <w:r w:rsidRPr="004E687E">
        <w:rPr>
          <w:rFonts w:ascii="Tahoma" w:hAnsi="Tahoma" w:cs="Tahoma"/>
          <w:sz w:val="28"/>
          <w:szCs w:val="28"/>
        </w:rPr>
        <w:t>Bilješke uz financijske izvještaje za razdoblje siječanj-prosinac 2023. godine</w:t>
      </w:r>
    </w:p>
    <w:p w:rsidR="00743485" w:rsidRPr="004E687E" w:rsidRDefault="00743485" w:rsidP="00743485"/>
    <w:p w:rsidR="00743485" w:rsidRPr="004E687E" w:rsidRDefault="00743485" w:rsidP="00743485">
      <w:pPr>
        <w:jc w:val="both"/>
        <w:rPr>
          <w:rFonts w:ascii="Tahoma" w:hAnsi="Tahoma" w:cs="Tahoma"/>
          <w:sz w:val="22"/>
          <w:szCs w:val="22"/>
        </w:rPr>
      </w:pPr>
      <w:r w:rsidRPr="004E687E">
        <w:rPr>
          <w:rFonts w:ascii="Tahoma" w:hAnsi="Tahoma" w:cs="Tahoma"/>
          <w:sz w:val="22"/>
          <w:szCs w:val="22"/>
        </w:rPr>
        <w:t>Bilješke uz financijske izvještaje za razdoblje siječanj-prosinac 2023. godine izrađene su sukladno Pravilniku o financijskom izvještavanju u proračunskom računovodstvu (NN 37/22) kao sastavni dio financijskih izvještaja za predmetno razdoblje.</w:t>
      </w:r>
    </w:p>
    <w:p w:rsidR="00477425" w:rsidRPr="004E687E" w:rsidRDefault="00477425" w:rsidP="00313B5E">
      <w:pPr>
        <w:jc w:val="both"/>
        <w:rPr>
          <w:rFonts w:ascii="Tahoma" w:hAnsi="Tahoma" w:cs="Tahoma"/>
          <w:sz w:val="22"/>
          <w:szCs w:val="22"/>
        </w:rPr>
      </w:pPr>
    </w:p>
    <w:p w:rsidR="001A4452" w:rsidRPr="004E687E" w:rsidRDefault="001A4452" w:rsidP="001621B4">
      <w:pPr>
        <w:jc w:val="both"/>
        <w:rPr>
          <w:rFonts w:ascii="Tahoma" w:hAnsi="Tahoma" w:cs="Tahoma"/>
          <w:sz w:val="22"/>
          <w:szCs w:val="22"/>
        </w:rPr>
      </w:pPr>
    </w:p>
    <w:p w:rsidR="00235F14" w:rsidRPr="004E687E" w:rsidRDefault="00235F14" w:rsidP="00235F14">
      <w:pPr>
        <w:pStyle w:val="ListParagraph"/>
        <w:numPr>
          <w:ilvl w:val="0"/>
          <w:numId w:val="7"/>
        </w:numPr>
        <w:ind w:left="709" w:hanging="709"/>
        <w:jc w:val="both"/>
        <w:rPr>
          <w:rFonts w:ascii="Tahoma" w:hAnsi="Tahoma" w:cs="Tahoma"/>
          <w:b/>
          <w:sz w:val="22"/>
          <w:szCs w:val="22"/>
        </w:rPr>
      </w:pPr>
      <w:r w:rsidRPr="004E687E">
        <w:rPr>
          <w:rFonts w:ascii="Tahoma" w:hAnsi="Tahoma" w:cs="Tahoma"/>
          <w:b/>
          <w:sz w:val="22"/>
          <w:szCs w:val="22"/>
        </w:rPr>
        <w:t>IZVJEŠTAJ O PRIHODIMA I RASHODIMA, PRIMICIMA I IZDACIMA ZA RAZDOBLJE OD 1. SIJEČNJA DO 31. PROSINCA 202</w:t>
      </w:r>
      <w:r w:rsidR="009A7852">
        <w:rPr>
          <w:rFonts w:ascii="Tahoma" w:hAnsi="Tahoma" w:cs="Tahoma"/>
          <w:b/>
          <w:sz w:val="22"/>
          <w:szCs w:val="22"/>
        </w:rPr>
        <w:t>3</w:t>
      </w:r>
      <w:r w:rsidRPr="004E687E">
        <w:rPr>
          <w:rFonts w:ascii="Tahoma" w:hAnsi="Tahoma" w:cs="Tahoma"/>
          <w:b/>
          <w:sz w:val="22"/>
          <w:szCs w:val="22"/>
        </w:rPr>
        <w:t>. GODINE</w:t>
      </w:r>
    </w:p>
    <w:p w:rsidR="00235F14" w:rsidRPr="004E687E" w:rsidRDefault="00235F14" w:rsidP="00235F14">
      <w:pPr>
        <w:jc w:val="both"/>
        <w:rPr>
          <w:rFonts w:ascii="Tahoma" w:hAnsi="Tahoma" w:cs="Tahoma"/>
          <w:sz w:val="22"/>
          <w:szCs w:val="22"/>
        </w:rPr>
      </w:pPr>
    </w:p>
    <w:p w:rsidR="00235F14" w:rsidRPr="004E687E" w:rsidRDefault="00235F14" w:rsidP="00235F14">
      <w:pPr>
        <w:pStyle w:val="Heading2"/>
        <w:numPr>
          <w:ilvl w:val="0"/>
          <w:numId w:val="1"/>
        </w:numPr>
        <w:ind w:hanging="720"/>
        <w:rPr>
          <w:rFonts w:ascii="Tahoma" w:hAnsi="Tahoma" w:cs="Tahoma"/>
          <w:sz w:val="22"/>
          <w:szCs w:val="22"/>
        </w:rPr>
      </w:pPr>
      <w:r w:rsidRPr="004E687E">
        <w:rPr>
          <w:rFonts w:ascii="Tahoma" w:hAnsi="Tahoma" w:cs="Tahoma"/>
          <w:sz w:val="22"/>
          <w:szCs w:val="22"/>
        </w:rPr>
        <w:t>PRIHODI</w:t>
      </w:r>
    </w:p>
    <w:p w:rsidR="009077EB" w:rsidRDefault="00235F14" w:rsidP="00235F14">
      <w:pPr>
        <w:pStyle w:val="ListParagraph"/>
        <w:numPr>
          <w:ilvl w:val="1"/>
          <w:numId w:val="1"/>
        </w:numPr>
        <w:tabs>
          <w:tab w:val="left" w:pos="0"/>
        </w:tabs>
        <w:ind w:left="709" w:hanging="709"/>
        <w:jc w:val="both"/>
        <w:rPr>
          <w:rFonts w:ascii="Tahoma" w:hAnsi="Tahoma" w:cs="Tahoma"/>
          <w:b/>
          <w:sz w:val="22"/>
          <w:szCs w:val="22"/>
        </w:rPr>
      </w:pPr>
      <w:r w:rsidRPr="004E687E">
        <w:rPr>
          <w:rFonts w:ascii="Tahoma" w:hAnsi="Tahoma" w:cs="Tahoma"/>
          <w:b/>
          <w:sz w:val="22"/>
          <w:szCs w:val="22"/>
        </w:rPr>
        <w:t>PRIHODI OD HRVATSKOG ZAVODA ZA ZDRAVSTVENO OSIGURANJE</w:t>
      </w:r>
    </w:p>
    <w:p w:rsidR="009077EB" w:rsidRPr="009077EB" w:rsidRDefault="009077EB" w:rsidP="009077EB"/>
    <w:p w:rsidR="00235F14" w:rsidRPr="004E687E" w:rsidRDefault="00235F14" w:rsidP="00235F14">
      <w:pPr>
        <w:jc w:val="both"/>
        <w:rPr>
          <w:rFonts w:ascii="Tahoma" w:hAnsi="Tahoma" w:cs="Tahoma"/>
          <w:sz w:val="22"/>
          <w:szCs w:val="22"/>
        </w:rPr>
      </w:pPr>
      <w:r w:rsidRPr="004E687E">
        <w:rPr>
          <w:rFonts w:ascii="Tahoma" w:hAnsi="Tahoma" w:cs="Tahoma"/>
          <w:b/>
          <w:sz w:val="22"/>
          <w:szCs w:val="22"/>
          <w:u w:val="single"/>
        </w:rPr>
        <w:t>Ukupni prihodi od HZZO-a na temelju ugovornih obveza (</w:t>
      </w:r>
      <w:r w:rsidR="00320902" w:rsidRPr="004E687E">
        <w:rPr>
          <w:rFonts w:ascii="Tahoma" w:hAnsi="Tahoma" w:cs="Tahoma"/>
          <w:b/>
          <w:sz w:val="22"/>
          <w:szCs w:val="22"/>
          <w:u w:val="single"/>
        </w:rPr>
        <w:t>Š</w:t>
      </w:r>
      <w:r w:rsidRPr="004E687E">
        <w:rPr>
          <w:rFonts w:ascii="Tahoma" w:hAnsi="Tahoma" w:cs="Tahoma"/>
          <w:b/>
          <w:sz w:val="22"/>
          <w:szCs w:val="22"/>
          <w:u w:val="single"/>
        </w:rPr>
        <w:t>ifra 673)</w:t>
      </w:r>
      <w:r w:rsidRPr="004E687E">
        <w:rPr>
          <w:rFonts w:ascii="Tahoma" w:hAnsi="Tahoma" w:cs="Tahoma"/>
          <w:b/>
          <w:sz w:val="22"/>
          <w:szCs w:val="22"/>
        </w:rPr>
        <w:t xml:space="preserve"> </w:t>
      </w:r>
      <w:r w:rsidRPr="004E687E">
        <w:rPr>
          <w:rFonts w:ascii="Tahoma" w:hAnsi="Tahoma" w:cs="Tahoma"/>
          <w:sz w:val="22"/>
          <w:szCs w:val="22"/>
        </w:rPr>
        <w:t>u r</w:t>
      </w:r>
      <w:r w:rsidR="005072DD" w:rsidRPr="004E687E">
        <w:rPr>
          <w:rFonts w:ascii="Tahoma" w:hAnsi="Tahoma" w:cs="Tahoma"/>
          <w:sz w:val="22"/>
          <w:szCs w:val="22"/>
        </w:rPr>
        <w:t>azdoblju siječanj-prosinac  2023</w:t>
      </w:r>
      <w:r w:rsidRPr="004E687E">
        <w:rPr>
          <w:rFonts w:ascii="Tahoma" w:hAnsi="Tahoma" w:cs="Tahoma"/>
          <w:sz w:val="22"/>
          <w:szCs w:val="22"/>
        </w:rPr>
        <w:t xml:space="preserve">. godine </w:t>
      </w:r>
      <w:r w:rsidR="00125622" w:rsidRPr="004E687E">
        <w:rPr>
          <w:rFonts w:ascii="Tahoma" w:hAnsi="Tahoma" w:cs="Tahoma"/>
          <w:sz w:val="22"/>
          <w:szCs w:val="22"/>
        </w:rPr>
        <w:t>iznose 438.732.330 EUR</w:t>
      </w:r>
      <w:r w:rsidRPr="004E687E">
        <w:rPr>
          <w:rFonts w:ascii="Tahoma" w:hAnsi="Tahoma" w:cs="Tahoma"/>
          <w:sz w:val="22"/>
          <w:szCs w:val="22"/>
        </w:rPr>
        <w:t xml:space="preserve">. </w:t>
      </w:r>
    </w:p>
    <w:p w:rsidR="00235F14" w:rsidRPr="004E687E" w:rsidRDefault="00235F14" w:rsidP="00235F14">
      <w:pPr>
        <w:jc w:val="both"/>
        <w:rPr>
          <w:rFonts w:ascii="Tahoma" w:hAnsi="Tahoma" w:cs="Tahoma"/>
          <w:sz w:val="22"/>
          <w:szCs w:val="22"/>
        </w:rPr>
      </w:pPr>
    </w:p>
    <w:p w:rsidR="00235F14" w:rsidRPr="004E687E" w:rsidRDefault="00235F14" w:rsidP="00235F14">
      <w:pPr>
        <w:jc w:val="both"/>
        <w:rPr>
          <w:rFonts w:ascii="Tahoma" w:hAnsi="Tahoma" w:cs="Tahoma"/>
          <w:sz w:val="22"/>
          <w:szCs w:val="22"/>
        </w:rPr>
      </w:pPr>
      <w:r w:rsidRPr="004E687E">
        <w:rPr>
          <w:rFonts w:ascii="Tahoma" w:hAnsi="Tahoma" w:cs="Tahoma"/>
          <w:sz w:val="22"/>
          <w:szCs w:val="22"/>
        </w:rPr>
        <w:t xml:space="preserve">Povećanje prihoda od HZZO-a na temelju ugovornih obveza u </w:t>
      </w:r>
      <w:r w:rsidR="00336085" w:rsidRPr="004E687E">
        <w:rPr>
          <w:rFonts w:ascii="Tahoma" w:hAnsi="Tahoma" w:cs="Tahoma"/>
          <w:sz w:val="22"/>
          <w:szCs w:val="22"/>
        </w:rPr>
        <w:t>razdoblju siječanj-prosinac 2023</w:t>
      </w:r>
      <w:r w:rsidRPr="004E687E">
        <w:rPr>
          <w:rFonts w:ascii="Tahoma" w:hAnsi="Tahoma" w:cs="Tahoma"/>
          <w:sz w:val="22"/>
          <w:szCs w:val="22"/>
        </w:rPr>
        <w:t>. godine u odnosu na isto razdob</w:t>
      </w:r>
      <w:r w:rsidR="00125622" w:rsidRPr="004E687E">
        <w:rPr>
          <w:rFonts w:ascii="Tahoma" w:hAnsi="Tahoma" w:cs="Tahoma"/>
          <w:sz w:val="22"/>
          <w:szCs w:val="22"/>
        </w:rPr>
        <w:t>lje prethodne godine iznosi 15,1</w:t>
      </w:r>
      <w:r w:rsidRPr="004E687E">
        <w:rPr>
          <w:rFonts w:ascii="Tahoma" w:hAnsi="Tahoma" w:cs="Tahoma"/>
          <w:sz w:val="22"/>
          <w:szCs w:val="22"/>
        </w:rPr>
        <w:t>%.</w:t>
      </w:r>
    </w:p>
    <w:p w:rsidR="00235F14" w:rsidRPr="004E687E" w:rsidRDefault="00235F14" w:rsidP="00235F14">
      <w:pPr>
        <w:jc w:val="both"/>
        <w:rPr>
          <w:rFonts w:ascii="Tahoma" w:hAnsi="Tahoma" w:cs="Tahoma"/>
          <w:sz w:val="22"/>
          <w:szCs w:val="22"/>
        </w:rPr>
      </w:pPr>
    </w:p>
    <w:tbl>
      <w:tblPr>
        <w:tblStyle w:val="TableGrid"/>
        <w:tblW w:w="9493" w:type="dxa"/>
        <w:tblLook w:val="04A0" w:firstRow="1" w:lastRow="0" w:firstColumn="1" w:lastColumn="0" w:noHBand="0" w:noVBand="1"/>
      </w:tblPr>
      <w:tblGrid>
        <w:gridCol w:w="2122"/>
        <w:gridCol w:w="2409"/>
        <w:gridCol w:w="2268"/>
        <w:gridCol w:w="2694"/>
      </w:tblGrid>
      <w:tr w:rsidR="00235F14" w:rsidRPr="004E687E" w:rsidTr="00222CA9">
        <w:tc>
          <w:tcPr>
            <w:tcW w:w="2122" w:type="dxa"/>
            <w:vMerge w:val="restart"/>
            <w:vAlign w:val="center"/>
          </w:tcPr>
          <w:p w:rsidR="00235F14" w:rsidRPr="004E687E" w:rsidRDefault="00CE5272" w:rsidP="00336085">
            <w:pPr>
              <w:ind w:right="-41"/>
              <w:jc w:val="center"/>
              <w:rPr>
                <w:rFonts w:ascii="Tahoma" w:hAnsi="Tahoma" w:cs="Tahoma"/>
                <w:sz w:val="18"/>
                <w:szCs w:val="18"/>
              </w:rPr>
            </w:pPr>
            <w:r w:rsidRPr="004E687E">
              <w:rPr>
                <w:rFonts w:ascii="Tahoma" w:hAnsi="Tahoma" w:cs="Tahoma"/>
                <w:b/>
                <w:sz w:val="20"/>
                <w:szCs w:val="20"/>
              </w:rPr>
              <w:t>Prihodi</w:t>
            </w:r>
            <w:r w:rsidR="00235F14" w:rsidRPr="004E687E">
              <w:rPr>
                <w:rFonts w:ascii="Tahoma" w:hAnsi="Tahoma" w:cs="Tahoma"/>
                <w:b/>
                <w:sz w:val="20"/>
                <w:szCs w:val="20"/>
              </w:rPr>
              <w:t xml:space="preserve"> od HZZO-a na temelju ugovornih obveza</w:t>
            </w:r>
            <w:r w:rsidR="00235F14" w:rsidRPr="004E687E">
              <w:rPr>
                <w:rFonts w:ascii="Tahoma" w:hAnsi="Tahoma" w:cs="Tahoma"/>
                <w:sz w:val="18"/>
                <w:szCs w:val="18"/>
              </w:rPr>
              <w:t xml:space="preserve"> </w:t>
            </w:r>
          </w:p>
        </w:tc>
        <w:tc>
          <w:tcPr>
            <w:tcW w:w="2409" w:type="dxa"/>
            <w:vAlign w:val="center"/>
          </w:tcPr>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Izvršenje</w:t>
            </w:r>
          </w:p>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202</w:t>
            </w:r>
            <w:r w:rsidR="00336085" w:rsidRPr="004E687E">
              <w:rPr>
                <w:rFonts w:ascii="Tahoma" w:hAnsi="Tahoma" w:cs="Tahoma"/>
                <w:b/>
                <w:sz w:val="22"/>
                <w:szCs w:val="22"/>
              </w:rPr>
              <w:t>2</w:t>
            </w:r>
          </w:p>
        </w:tc>
        <w:tc>
          <w:tcPr>
            <w:tcW w:w="2268" w:type="dxa"/>
            <w:vAlign w:val="center"/>
          </w:tcPr>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 xml:space="preserve">Izvršenje </w:t>
            </w:r>
          </w:p>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202</w:t>
            </w:r>
            <w:r w:rsidR="00336085" w:rsidRPr="004E687E">
              <w:rPr>
                <w:rFonts w:ascii="Tahoma" w:hAnsi="Tahoma" w:cs="Tahoma"/>
                <w:b/>
                <w:sz w:val="22"/>
                <w:szCs w:val="22"/>
              </w:rPr>
              <w:t>3</w:t>
            </w:r>
          </w:p>
        </w:tc>
        <w:tc>
          <w:tcPr>
            <w:tcW w:w="2694" w:type="dxa"/>
            <w:vAlign w:val="center"/>
          </w:tcPr>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Indeks</w:t>
            </w:r>
          </w:p>
          <w:p w:rsidR="00235F14" w:rsidRPr="004E687E" w:rsidRDefault="00336085" w:rsidP="00222CA9">
            <w:pPr>
              <w:jc w:val="center"/>
              <w:rPr>
                <w:rFonts w:ascii="Tahoma" w:hAnsi="Tahoma" w:cs="Tahoma"/>
                <w:b/>
                <w:sz w:val="22"/>
                <w:szCs w:val="22"/>
              </w:rPr>
            </w:pPr>
            <w:r w:rsidRPr="004E687E">
              <w:rPr>
                <w:rFonts w:ascii="Tahoma" w:hAnsi="Tahoma" w:cs="Tahoma"/>
                <w:b/>
                <w:sz w:val="22"/>
                <w:szCs w:val="22"/>
              </w:rPr>
              <w:t>2023/2022</w:t>
            </w:r>
          </w:p>
        </w:tc>
      </w:tr>
      <w:tr w:rsidR="00235F14" w:rsidRPr="004E687E" w:rsidTr="00222CA9">
        <w:trPr>
          <w:trHeight w:val="461"/>
        </w:trPr>
        <w:tc>
          <w:tcPr>
            <w:tcW w:w="2122" w:type="dxa"/>
            <w:vMerge/>
          </w:tcPr>
          <w:p w:rsidR="00235F14" w:rsidRPr="004E687E" w:rsidRDefault="00235F14" w:rsidP="00222CA9">
            <w:pPr>
              <w:jc w:val="both"/>
              <w:rPr>
                <w:rFonts w:ascii="Tahoma" w:hAnsi="Tahoma" w:cs="Tahoma"/>
                <w:b/>
                <w:sz w:val="22"/>
                <w:szCs w:val="22"/>
              </w:rPr>
            </w:pPr>
          </w:p>
        </w:tc>
        <w:tc>
          <w:tcPr>
            <w:tcW w:w="2409" w:type="dxa"/>
            <w:shd w:val="clear" w:color="auto" w:fill="auto"/>
            <w:vAlign w:val="center"/>
          </w:tcPr>
          <w:p w:rsidR="00235F14" w:rsidRPr="004E687E" w:rsidRDefault="00125622" w:rsidP="00222CA9">
            <w:pPr>
              <w:jc w:val="right"/>
              <w:rPr>
                <w:rFonts w:ascii="Tahoma" w:hAnsi="Tahoma" w:cs="Tahoma"/>
                <w:b/>
                <w:color w:val="00B0F0"/>
                <w:sz w:val="22"/>
                <w:szCs w:val="22"/>
              </w:rPr>
            </w:pPr>
            <w:r w:rsidRPr="004E687E">
              <w:rPr>
                <w:rFonts w:ascii="Tahoma" w:hAnsi="Tahoma" w:cs="Tahoma"/>
                <w:b/>
                <w:sz w:val="22"/>
                <w:szCs w:val="22"/>
              </w:rPr>
              <w:t>381.202.747</w:t>
            </w:r>
          </w:p>
        </w:tc>
        <w:tc>
          <w:tcPr>
            <w:tcW w:w="2268" w:type="dxa"/>
            <w:shd w:val="clear" w:color="auto" w:fill="auto"/>
            <w:vAlign w:val="center"/>
          </w:tcPr>
          <w:p w:rsidR="00235F14" w:rsidRPr="004E687E" w:rsidRDefault="00125622" w:rsidP="00222CA9">
            <w:pPr>
              <w:jc w:val="right"/>
              <w:rPr>
                <w:rFonts w:ascii="Tahoma" w:hAnsi="Tahoma" w:cs="Tahoma"/>
                <w:b/>
                <w:color w:val="00B0F0"/>
                <w:sz w:val="22"/>
                <w:szCs w:val="22"/>
              </w:rPr>
            </w:pPr>
            <w:r w:rsidRPr="004E687E">
              <w:rPr>
                <w:rFonts w:ascii="Tahoma" w:hAnsi="Tahoma" w:cs="Tahoma"/>
                <w:b/>
                <w:sz w:val="22"/>
                <w:szCs w:val="22"/>
              </w:rPr>
              <w:t>438.732.330</w:t>
            </w:r>
          </w:p>
        </w:tc>
        <w:tc>
          <w:tcPr>
            <w:tcW w:w="2694" w:type="dxa"/>
            <w:vAlign w:val="center"/>
          </w:tcPr>
          <w:p w:rsidR="00235F14" w:rsidRPr="004E687E" w:rsidRDefault="00235F14" w:rsidP="00222CA9">
            <w:pPr>
              <w:jc w:val="right"/>
              <w:rPr>
                <w:rFonts w:ascii="Tahoma" w:hAnsi="Tahoma" w:cs="Tahoma"/>
                <w:b/>
                <w:sz w:val="22"/>
                <w:szCs w:val="22"/>
              </w:rPr>
            </w:pPr>
            <w:r w:rsidRPr="004E687E">
              <w:rPr>
                <w:rFonts w:ascii="Tahoma" w:hAnsi="Tahoma" w:cs="Tahoma"/>
                <w:b/>
                <w:sz w:val="22"/>
                <w:szCs w:val="22"/>
              </w:rPr>
              <w:t>1,15</w:t>
            </w:r>
          </w:p>
        </w:tc>
      </w:tr>
    </w:tbl>
    <w:p w:rsidR="00235F14" w:rsidRPr="004E687E" w:rsidRDefault="00235F14" w:rsidP="00235F14">
      <w:pPr>
        <w:jc w:val="both"/>
        <w:rPr>
          <w:rFonts w:ascii="Tahoma" w:hAnsi="Tahoma" w:cs="Tahoma"/>
          <w:color w:val="0070C0"/>
          <w:sz w:val="22"/>
          <w:szCs w:val="22"/>
        </w:rPr>
      </w:pPr>
    </w:p>
    <w:p w:rsidR="00235F14" w:rsidRPr="004E687E" w:rsidRDefault="00235F14" w:rsidP="00235F14">
      <w:pPr>
        <w:pStyle w:val="ListParagraph"/>
        <w:numPr>
          <w:ilvl w:val="2"/>
          <w:numId w:val="1"/>
        </w:numPr>
        <w:ind w:left="1134" w:hanging="1134"/>
        <w:jc w:val="both"/>
        <w:rPr>
          <w:rFonts w:ascii="Tahoma" w:hAnsi="Tahoma" w:cs="Tahoma"/>
          <w:b/>
          <w:sz w:val="22"/>
          <w:szCs w:val="22"/>
        </w:rPr>
      </w:pPr>
      <w:r w:rsidRPr="004E687E">
        <w:rPr>
          <w:rFonts w:ascii="Tahoma" w:hAnsi="Tahoma" w:cs="Tahoma"/>
          <w:b/>
          <w:sz w:val="22"/>
          <w:szCs w:val="22"/>
        </w:rPr>
        <w:t xml:space="preserve">Prihodi od HZZO-a prema Ugovoru o provođenju bolničke i specijalističko-konzilijarne zdravstvene zaštite bolesnika oboljelih od akutnih bolesti – </w:t>
      </w:r>
      <w:r w:rsidRPr="00483516">
        <w:rPr>
          <w:rFonts w:ascii="Tahoma" w:hAnsi="Tahoma" w:cs="Tahoma"/>
          <w:b/>
          <w:sz w:val="22"/>
          <w:szCs w:val="22"/>
        </w:rPr>
        <w:t>„proračuni</w:t>
      </w:r>
      <w:r w:rsidRPr="004E687E">
        <w:rPr>
          <w:rFonts w:ascii="Tahoma" w:hAnsi="Tahoma" w:cs="Tahoma"/>
          <w:b/>
          <w:sz w:val="22"/>
          <w:szCs w:val="22"/>
        </w:rPr>
        <w:t xml:space="preserve"> bolnica“</w:t>
      </w:r>
    </w:p>
    <w:p w:rsidR="00235F14" w:rsidRPr="004E687E" w:rsidRDefault="00235F14" w:rsidP="00235F14">
      <w:pPr>
        <w:jc w:val="both"/>
        <w:rPr>
          <w:rFonts w:ascii="Tahoma" w:hAnsi="Tahoma" w:cs="Tahoma"/>
          <w:b/>
          <w:sz w:val="22"/>
          <w:szCs w:val="22"/>
          <w:u w:val="single"/>
        </w:rPr>
      </w:pPr>
    </w:p>
    <w:p w:rsidR="00235F14" w:rsidRPr="004E687E" w:rsidRDefault="00235F14" w:rsidP="00235F14">
      <w:pPr>
        <w:jc w:val="both"/>
        <w:rPr>
          <w:rFonts w:ascii="Tahoma" w:hAnsi="Tahoma" w:cs="Tahoma"/>
          <w:color w:val="FF0000"/>
          <w:sz w:val="22"/>
          <w:szCs w:val="22"/>
        </w:rPr>
      </w:pPr>
      <w:r w:rsidRPr="004E687E">
        <w:rPr>
          <w:rFonts w:ascii="Tahoma" w:hAnsi="Tahoma" w:cs="Tahoma"/>
          <w:sz w:val="22"/>
          <w:szCs w:val="22"/>
        </w:rPr>
        <w:t xml:space="preserve">Prihodi od HZZO-a prema Ugovoru o provođenju bolničke i specijalističko-konzilijarne zdravstvene zaštite bolesnika oboljelih od akutnih bolesti </w:t>
      </w:r>
      <w:r w:rsidRPr="00483516">
        <w:rPr>
          <w:rFonts w:ascii="Tahoma" w:hAnsi="Tahoma" w:cs="Tahoma"/>
          <w:sz w:val="22"/>
          <w:szCs w:val="22"/>
        </w:rPr>
        <w:t>-„proračuni bolnica</w:t>
      </w:r>
      <w:r w:rsidRPr="004E687E">
        <w:rPr>
          <w:rFonts w:ascii="Tahoma" w:hAnsi="Tahoma" w:cs="Tahoma"/>
          <w:sz w:val="22"/>
          <w:szCs w:val="22"/>
        </w:rPr>
        <w:t>“ ostvareni su u ra</w:t>
      </w:r>
      <w:r w:rsidR="00336085" w:rsidRPr="004E687E">
        <w:rPr>
          <w:rFonts w:ascii="Tahoma" w:hAnsi="Tahoma" w:cs="Tahoma"/>
          <w:sz w:val="22"/>
          <w:szCs w:val="22"/>
        </w:rPr>
        <w:t>zdoblju siječanj - prosinac 2023</w:t>
      </w:r>
      <w:r w:rsidRPr="004E687E">
        <w:rPr>
          <w:rFonts w:ascii="Tahoma" w:hAnsi="Tahoma" w:cs="Tahoma"/>
          <w:sz w:val="22"/>
          <w:szCs w:val="22"/>
        </w:rPr>
        <w:t xml:space="preserve">. godine u iznosu od </w:t>
      </w:r>
      <w:r w:rsidR="00BD7A95" w:rsidRPr="004E687E">
        <w:rPr>
          <w:rFonts w:ascii="Tahoma" w:hAnsi="Tahoma" w:cs="Tahoma"/>
          <w:sz w:val="22"/>
          <w:szCs w:val="22"/>
        </w:rPr>
        <w:t xml:space="preserve">259.206.971 EUR </w:t>
      </w:r>
      <w:r w:rsidRPr="004E687E">
        <w:rPr>
          <w:rFonts w:ascii="Tahoma" w:hAnsi="Tahoma" w:cs="Tahoma"/>
          <w:sz w:val="22"/>
          <w:szCs w:val="22"/>
        </w:rPr>
        <w:t>(iznos u</w:t>
      </w:r>
      <w:r w:rsidR="00E7493E" w:rsidRPr="004E687E">
        <w:rPr>
          <w:rFonts w:ascii="Tahoma" w:hAnsi="Tahoma" w:cs="Tahoma"/>
          <w:sz w:val="22"/>
          <w:szCs w:val="22"/>
        </w:rPr>
        <w:t xml:space="preserve">ključuje prihod na ime „limita“ i </w:t>
      </w:r>
      <w:r w:rsidRPr="004E687E">
        <w:rPr>
          <w:rFonts w:ascii="Tahoma" w:hAnsi="Tahoma" w:cs="Tahoma"/>
          <w:sz w:val="22"/>
          <w:szCs w:val="22"/>
        </w:rPr>
        <w:t xml:space="preserve"> prihod od „DTP liste čekanja“</w:t>
      </w:r>
      <w:r w:rsidR="00E7493E" w:rsidRPr="004E687E">
        <w:rPr>
          <w:rFonts w:ascii="Tahoma" w:hAnsi="Tahoma" w:cs="Tahoma"/>
          <w:sz w:val="22"/>
          <w:szCs w:val="22"/>
        </w:rPr>
        <w:t>).</w:t>
      </w:r>
      <w:r w:rsidRPr="004E687E">
        <w:rPr>
          <w:rFonts w:ascii="Tahoma" w:hAnsi="Tahoma" w:cs="Tahoma"/>
          <w:sz w:val="22"/>
          <w:szCs w:val="22"/>
        </w:rPr>
        <w:t xml:space="preserve"> </w:t>
      </w:r>
    </w:p>
    <w:p w:rsidR="00235F14" w:rsidRPr="004E687E" w:rsidRDefault="00235F14" w:rsidP="00235F14">
      <w:pPr>
        <w:jc w:val="both"/>
        <w:rPr>
          <w:rFonts w:ascii="Tahoma" w:hAnsi="Tahoma" w:cs="Tahoma"/>
          <w:strike/>
          <w:color w:val="FF0000"/>
          <w:sz w:val="22"/>
          <w:szCs w:val="22"/>
        </w:rPr>
      </w:pPr>
    </w:p>
    <w:p w:rsidR="00235F14" w:rsidRPr="004E687E" w:rsidRDefault="00235F14" w:rsidP="00235F14">
      <w:pPr>
        <w:autoSpaceDE w:val="0"/>
        <w:autoSpaceDN w:val="0"/>
        <w:adjustRightInd w:val="0"/>
        <w:jc w:val="both"/>
        <w:rPr>
          <w:rFonts w:ascii="Tahoma" w:hAnsi="Tahoma" w:cs="Tahoma"/>
          <w:sz w:val="22"/>
          <w:szCs w:val="22"/>
        </w:rPr>
      </w:pPr>
      <w:r w:rsidRPr="004E687E">
        <w:rPr>
          <w:rFonts w:ascii="Tahoma" w:hAnsi="Tahoma" w:cs="Tahoma"/>
          <w:sz w:val="22"/>
          <w:szCs w:val="22"/>
        </w:rPr>
        <w:t>Povećanje prihoda od HZZO-a („</w:t>
      </w:r>
      <w:r w:rsidRPr="00483516">
        <w:rPr>
          <w:rFonts w:ascii="Tahoma" w:hAnsi="Tahoma" w:cs="Tahoma"/>
          <w:sz w:val="22"/>
          <w:szCs w:val="22"/>
        </w:rPr>
        <w:t>proračuni</w:t>
      </w:r>
      <w:r w:rsidRPr="004E687E">
        <w:rPr>
          <w:rFonts w:ascii="Tahoma" w:hAnsi="Tahoma" w:cs="Tahoma"/>
          <w:sz w:val="22"/>
          <w:szCs w:val="22"/>
        </w:rPr>
        <w:t xml:space="preserve"> bolnica“) u ra</w:t>
      </w:r>
      <w:r w:rsidR="00336085" w:rsidRPr="004E687E">
        <w:rPr>
          <w:rFonts w:ascii="Tahoma" w:hAnsi="Tahoma" w:cs="Tahoma"/>
          <w:sz w:val="22"/>
          <w:szCs w:val="22"/>
        </w:rPr>
        <w:t>zdoblju siječanj - prosinac 2023</w:t>
      </w:r>
      <w:r w:rsidRPr="004E687E">
        <w:rPr>
          <w:rFonts w:ascii="Tahoma" w:hAnsi="Tahoma" w:cs="Tahoma"/>
          <w:sz w:val="22"/>
          <w:szCs w:val="22"/>
        </w:rPr>
        <w:t>. godine u odnosu na isto razd</w:t>
      </w:r>
      <w:r w:rsidR="00BD7A95" w:rsidRPr="004E687E">
        <w:rPr>
          <w:rFonts w:ascii="Tahoma" w:hAnsi="Tahoma" w:cs="Tahoma"/>
          <w:sz w:val="22"/>
          <w:szCs w:val="22"/>
        </w:rPr>
        <w:t>oblje prethodne godine iznosi 22,3</w:t>
      </w:r>
      <w:r w:rsidRPr="004E687E">
        <w:rPr>
          <w:rFonts w:ascii="Tahoma" w:hAnsi="Tahoma" w:cs="Tahoma"/>
          <w:sz w:val="22"/>
          <w:szCs w:val="22"/>
        </w:rPr>
        <w:t xml:space="preserve">%. </w:t>
      </w:r>
    </w:p>
    <w:p w:rsidR="00235F14" w:rsidRPr="004E687E" w:rsidRDefault="00235F14" w:rsidP="00235F14">
      <w:pPr>
        <w:autoSpaceDE w:val="0"/>
        <w:autoSpaceDN w:val="0"/>
        <w:adjustRightInd w:val="0"/>
        <w:jc w:val="both"/>
        <w:rPr>
          <w:rFonts w:ascii="Tahoma" w:hAnsi="Tahoma" w:cs="Tahoma"/>
          <w:sz w:val="22"/>
          <w:szCs w:val="22"/>
        </w:rPr>
      </w:pPr>
    </w:p>
    <w:p w:rsidR="00235F14" w:rsidRPr="004E687E" w:rsidRDefault="00235F14" w:rsidP="00235F14">
      <w:pPr>
        <w:jc w:val="both"/>
        <w:rPr>
          <w:rFonts w:ascii="Tahoma" w:hAnsi="Tahoma" w:cs="Tahoma"/>
          <w:sz w:val="22"/>
          <w:szCs w:val="22"/>
        </w:rPr>
      </w:pPr>
    </w:p>
    <w:tbl>
      <w:tblPr>
        <w:tblStyle w:val="TableGrid"/>
        <w:tblW w:w="9351" w:type="dxa"/>
        <w:tblLook w:val="04A0" w:firstRow="1" w:lastRow="0" w:firstColumn="1" w:lastColumn="0" w:noHBand="0" w:noVBand="1"/>
      </w:tblPr>
      <w:tblGrid>
        <w:gridCol w:w="2263"/>
        <w:gridCol w:w="2268"/>
        <w:gridCol w:w="2268"/>
        <w:gridCol w:w="2552"/>
      </w:tblGrid>
      <w:tr w:rsidR="00235F14" w:rsidRPr="004E687E" w:rsidTr="00222CA9">
        <w:tc>
          <w:tcPr>
            <w:tcW w:w="2263" w:type="dxa"/>
            <w:vMerge w:val="restart"/>
            <w:vAlign w:val="center"/>
          </w:tcPr>
          <w:p w:rsidR="00235F14" w:rsidRPr="004E687E" w:rsidRDefault="00235F14" w:rsidP="00336085">
            <w:pPr>
              <w:ind w:right="-41"/>
              <w:jc w:val="center"/>
              <w:rPr>
                <w:rFonts w:ascii="Tahoma" w:hAnsi="Tahoma" w:cs="Tahoma"/>
                <w:b/>
                <w:sz w:val="20"/>
                <w:szCs w:val="20"/>
              </w:rPr>
            </w:pPr>
            <w:r w:rsidRPr="004E687E">
              <w:rPr>
                <w:rFonts w:ascii="Tahoma" w:hAnsi="Tahoma" w:cs="Tahoma"/>
                <w:b/>
                <w:sz w:val="20"/>
                <w:szCs w:val="20"/>
              </w:rPr>
              <w:t>Prihodi od HZZO-a proračun bolnice</w:t>
            </w:r>
          </w:p>
        </w:tc>
        <w:tc>
          <w:tcPr>
            <w:tcW w:w="2268" w:type="dxa"/>
            <w:vAlign w:val="center"/>
          </w:tcPr>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Izvršenje</w:t>
            </w:r>
          </w:p>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202</w:t>
            </w:r>
            <w:r w:rsidR="00336085" w:rsidRPr="004E687E">
              <w:rPr>
                <w:rFonts w:ascii="Tahoma" w:hAnsi="Tahoma" w:cs="Tahoma"/>
                <w:b/>
                <w:sz w:val="22"/>
                <w:szCs w:val="22"/>
              </w:rPr>
              <w:t>2</w:t>
            </w:r>
          </w:p>
        </w:tc>
        <w:tc>
          <w:tcPr>
            <w:tcW w:w="2268" w:type="dxa"/>
            <w:vAlign w:val="center"/>
          </w:tcPr>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 xml:space="preserve">Izvršenje </w:t>
            </w:r>
          </w:p>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202</w:t>
            </w:r>
            <w:r w:rsidR="00336085" w:rsidRPr="004E687E">
              <w:rPr>
                <w:rFonts w:ascii="Tahoma" w:hAnsi="Tahoma" w:cs="Tahoma"/>
                <w:b/>
                <w:sz w:val="22"/>
                <w:szCs w:val="22"/>
              </w:rPr>
              <w:t>3</w:t>
            </w:r>
          </w:p>
        </w:tc>
        <w:tc>
          <w:tcPr>
            <w:tcW w:w="2552" w:type="dxa"/>
            <w:vAlign w:val="center"/>
          </w:tcPr>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Index</w:t>
            </w:r>
          </w:p>
          <w:p w:rsidR="00235F14" w:rsidRPr="004E687E" w:rsidRDefault="00336085" w:rsidP="00222CA9">
            <w:pPr>
              <w:jc w:val="center"/>
              <w:rPr>
                <w:rFonts w:ascii="Tahoma" w:hAnsi="Tahoma" w:cs="Tahoma"/>
                <w:b/>
                <w:sz w:val="22"/>
                <w:szCs w:val="22"/>
              </w:rPr>
            </w:pPr>
            <w:r w:rsidRPr="004E687E">
              <w:rPr>
                <w:rFonts w:ascii="Tahoma" w:hAnsi="Tahoma" w:cs="Tahoma"/>
                <w:b/>
                <w:sz w:val="22"/>
                <w:szCs w:val="22"/>
              </w:rPr>
              <w:t>2023/2022</w:t>
            </w:r>
          </w:p>
        </w:tc>
      </w:tr>
      <w:tr w:rsidR="00235F14" w:rsidRPr="004E687E" w:rsidTr="00222CA9">
        <w:trPr>
          <w:trHeight w:val="461"/>
        </w:trPr>
        <w:tc>
          <w:tcPr>
            <w:tcW w:w="2263" w:type="dxa"/>
            <w:vMerge/>
          </w:tcPr>
          <w:p w:rsidR="00235F14" w:rsidRPr="004E687E" w:rsidRDefault="00235F14" w:rsidP="00222CA9">
            <w:pPr>
              <w:jc w:val="both"/>
              <w:rPr>
                <w:rFonts w:ascii="Tahoma" w:hAnsi="Tahoma" w:cs="Tahoma"/>
                <w:b/>
                <w:sz w:val="22"/>
                <w:szCs w:val="22"/>
              </w:rPr>
            </w:pPr>
          </w:p>
        </w:tc>
        <w:tc>
          <w:tcPr>
            <w:tcW w:w="2268" w:type="dxa"/>
            <w:vAlign w:val="center"/>
          </w:tcPr>
          <w:p w:rsidR="00235F14" w:rsidRPr="004E687E" w:rsidRDefault="00BD7A95" w:rsidP="00222CA9">
            <w:pPr>
              <w:jc w:val="right"/>
              <w:rPr>
                <w:rFonts w:ascii="Tahoma" w:hAnsi="Tahoma" w:cs="Tahoma"/>
                <w:b/>
                <w:sz w:val="22"/>
                <w:szCs w:val="22"/>
              </w:rPr>
            </w:pPr>
            <w:r w:rsidRPr="004E687E">
              <w:rPr>
                <w:rFonts w:ascii="Tahoma" w:hAnsi="Tahoma" w:cs="Tahoma"/>
                <w:b/>
                <w:sz w:val="22"/>
                <w:szCs w:val="22"/>
              </w:rPr>
              <w:t>211.939.154</w:t>
            </w:r>
          </w:p>
        </w:tc>
        <w:tc>
          <w:tcPr>
            <w:tcW w:w="2268" w:type="dxa"/>
            <w:vAlign w:val="center"/>
          </w:tcPr>
          <w:p w:rsidR="00235F14" w:rsidRPr="004E687E" w:rsidRDefault="00BD7A95" w:rsidP="00222CA9">
            <w:pPr>
              <w:jc w:val="right"/>
              <w:rPr>
                <w:rFonts w:ascii="Tahoma" w:hAnsi="Tahoma" w:cs="Tahoma"/>
                <w:b/>
                <w:sz w:val="22"/>
                <w:szCs w:val="22"/>
              </w:rPr>
            </w:pPr>
            <w:r w:rsidRPr="004E687E">
              <w:rPr>
                <w:rFonts w:ascii="Tahoma" w:hAnsi="Tahoma" w:cs="Tahoma"/>
                <w:b/>
                <w:sz w:val="22"/>
                <w:szCs w:val="22"/>
              </w:rPr>
              <w:t>259.206.971</w:t>
            </w:r>
          </w:p>
        </w:tc>
        <w:tc>
          <w:tcPr>
            <w:tcW w:w="2552" w:type="dxa"/>
            <w:vAlign w:val="center"/>
          </w:tcPr>
          <w:p w:rsidR="00235F14" w:rsidRPr="004E687E" w:rsidRDefault="00BD7A95" w:rsidP="00222CA9">
            <w:pPr>
              <w:jc w:val="right"/>
              <w:rPr>
                <w:rFonts w:ascii="Tahoma" w:hAnsi="Tahoma" w:cs="Tahoma"/>
                <w:b/>
                <w:sz w:val="22"/>
                <w:szCs w:val="22"/>
              </w:rPr>
            </w:pPr>
            <w:r w:rsidRPr="004E687E">
              <w:rPr>
                <w:rFonts w:ascii="Tahoma" w:hAnsi="Tahoma" w:cs="Tahoma"/>
                <w:b/>
                <w:sz w:val="22"/>
                <w:szCs w:val="22"/>
              </w:rPr>
              <w:t>1,22</w:t>
            </w:r>
          </w:p>
        </w:tc>
      </w:tr>
    </w:tbl>
    <w:p w:rsidR="00235F14" w:rsidRPr="004E687E" w:rsidRDefault="00235F14" w:rsidP="00235F14">
      <w:pPr>
        <w:pStyle w:val="ListParagraph"/>
        <w:ind w:left="643"/>
        <w:jc w:val="both"/>
        <w:rPr>
          <w:rFonts w:ascii="Tahoma" w:hAnsi="Tahoma" w:cs="Tahoma"/>
          <w:sz w:val="22"/>
          <w:szCs w:val="22"/>
        </w:rPr>
      </w:pPr>
    </w:p>
    <w:p w:rsidR="00235F14" w:rsidRPr="004E687E" w:rsidRDefault="00235F14" w:rsidP="00235F14">
      <w:pPr>
        <w:pStyle w:val="ListParagraph"/>
        <w:ind w:left="643"/>
        <w:jc w:val="both"/>
        <w:rPr>
          <w:rFonts w:ascii="Tahoma" w:hAnsi="Tahoma" w:cs="Tahoma"/>
          <w:sz w:val="22"/>
          <w:szCs w:val="22"/>
        </w:rPr>
      </w:pPr>
    </w:p>
    <w:p w:rsidR="00235F14" w:rsidRPr="004E687E" w:rsidRDefault="00235F14" w:rsidP="00235F14">
      <w:pPr>
        <w:pStyle w:val="ListParagraph"/>
        <w:numPr>
          <w:ilvl w:val="3"/>
          <w:numId w:val="1"/>
        </w:numPr>
        <w:autoSpaceDE w:val="0"/>
        <w:autoSpaceDN w:val="0"/>
        <w:adjustRightInd w:val="0"/>
        <w:ind w:left="1134" w:hanging="1134"/>
        <w:jc w:val="both"/>
        <w:rPr>
          <w:rFonts w:ascii="Tahoma" w:hAnsi="Tahoma" w:cs="Tahoma"/>
          <w:sz w:val="22"/>
          <w:szCs w:val="22"/>
        </w:rPr>
      </w:pPr>
      <w:r w:rsidRPr="004E687E">
        <w:rPr>
          <w:rFonts w:ascii="Tahoma" w:hAnsi="Tahoma" w:cs="Tahoma"/>
          <w:b/>
          <w:sz w:val="22"/>
          <w:szCs w:val="22"/>
        </w:rPr>
        <w:lastRenderedPageBreak/>
        <w:t>Prihodi od HZZO-a prema Ugovoru o provođenju bolničke i specijalističko - konzilijarne zdrav</w:t>
      </w:r>
      <w:r w:rsidR="00133B39">
        <w:rPr>
          <w:rFonts w:ascii="Tahoma" w:hAnsi="Tahoma" w:cs="Tahoma"/>
          <w:b/>
          <w:sz w:val="22"/>
          <w:szCs w:val="22"/>
        </w:rPr>
        <w:t xml:space="preserve">stvene zaštite bolesnika </w:t>
      </w:r>
      <w:r w:rsidR="00133B39" w:rsidRPr="00F63113">
        <w:rPr>
          <w:rFonts w:ascii="Tahoma" w:hAnsi="Tahoma" w:cs="Tahoma"/>
          <w:b/>
          <w:sz w:val="22"/>
          <w:szCs w:val="22"/>
        </w:rPr>
        <w:t>oboljel</w:t>
      </w:r>
      <w:r w:rsidRPr="00F63113">
        <w:rPr>
          <w:rFonts w:ascii="Tahoma" w:hAnsi="Tahoma" w:cs="Tahoma"/>
          <w:b/>
          <w:sz w:val="22"/>
          <w:szCs w:val="22"/>
        </w:rPr>
        <w:t>ih</w:t>
      </w:r>
      <w:r w:rsidRPr="004E687E">
        <w:rPr>
          <w:rFonts w:ascii="Tahoma" w:hAnsi="Tahoma" w:cs="Tahoma"/>
          <w:b/>
          <w:sz w:val="22"/>
          <w:szCs w:val="22"/>
        </w:rPr>
        <w:t xml:space="preserve"> od akutnih bolesti -</w:t>
      </w:r>
      <w:r w:rsidRPr="004E687E">
        <w:rPr>
          <w:rFonts w:ascii="Tahoma" w:hAnsi="Tahoma" w:cs="Tahoma"/>
          <w:sz w:val="22"/>
          <w:szCs w:val="22"/>
        </w:rPr>
        <w:t xml:space="preserve">  </w:t>
      </w:r>
      <w:r w:rsidRPr="004E687E">
        <w:rPr>
          <w:rFonts w:ascii="Tahoma" w:hAnsi="Tahoma" w:cs="Tahoma"/>
          <w:b/>
          <w:sz w:val="22"/>
          <w:szCs w:val="22"/>
        </w:rPr>
        <w:t>mjesečni osnovni iznos -</w:t>
      </w:r>
      <w:r w:rsidRPr="004E687E">
        <w:rPr>
          <w:rFonts w:ascii="Tahoma" w:hAnsi="Tahoma" w:cs="Tahoma"/>
          <w:sz w:val="22"/>
          <w:szCs w:val="22"/>
        </w:rPr>
        <w:t xml:space="preserve"> </w:t>
      </w:r>
      <w:r w:rsidRPr="004E687E">
        <w:rPr>
          <w:rFonts w:ascii="Tahoma" w:hAnsi="Tahoma" w:cs="Tahoma"/>
          <w:b/>
          <w:sz w:val="22"/>
          <w:szCs w:val="22"/>
        </w:rPr>
        <w:t>„limit“</w:t>
      </w:r>
    </w:p>
    <w:p w:rsidR="00235F14" w:rsidRPr="004E687E" w:rsidRDefault="00235F14" w:rsidP="00235F14">
      <w:pPr>
        <w:autoSpaceDE w:val="0"/>
        <w:autoSpaceDN w:val="0"/>
        <w:adjustRightInd w:val="0"/>
        <w:jc w:val="both"/>
        <w:rPr>
          <w:rFonts w:ascii="Tahoma" w:hAnsi="Tahoma" w:cs="Tahoma"/>
          <w:sz w:val="22"/>
          <w:szCs w:val="22"/>
        </w:rPr>
      </w:pPr>
    </w:p>
    <w:tbl>
      <w:tblPr>
        <w:tblStyle w:val="TableGrid"/>
        <w:tblW w:w="9351" w:type="dxa"/>
        <w:tblLook w:val="04A0" w:firstRow="1" w:lastRow="0" w:firstColumn="1" w:lastColumn="0" w:noHBand="0" w:noVBand="1"/>
      </w:tblPr>
      <w:tblGrid>
        <w:gridCol w:w="2122"/>
        <w:gridCol w:w="2268"/>
        <w:gridCol w:w="2551"/>
        <w:gridCol w:w="2410"/>
      </w:tblGrid>
      <w:tr w:rsidR="001C4CD3" w:rsidRPr="004E687E" w:rsidTr="00671DDC">
        <w:tc>
          <w:tcPr>
            <w:tcW w:w="2122" w:type="dxa"/>
            <w:vMerge w:val="restart"/>
            <w:vAlign w:val="center"/>
          </w:tcPr>
          <w:p w:rsidR="001C4CD3" w:rsidRPr="004E687E" w:rsidRDefault="001C4CD3" w:rsidP="00BD7A95">
            <w:pPr>
              <w:ind w:right="-41"/>
              <w:jc w:val="center"/>
              <w:rPr>
                <w:rFonts w:ascii="Tahoma" w:hAnsi="Tahoma" w:cs="Tahoma"/>
                <w:b/>
                <w:sz w:val="20"/>
                <w:szCs w:val="20"/>
              </w:rPr>
            </w:pPr>
            <w:r w:rsidRPr="004E687E">
              <w:rPr>
                <w:rFonts w:ascii="Tahoma" w:hAnsi="Tahoma" w:cs="Tahoma"/>
                <w:b/>
                <w:sz w:val="20"/>
                <w:szCs w:val="20"/>
              </w:rPr>
              <w:t xml:space="preserve">Prihodi od HZZO-a </w:t>
            </w:r>
            <w:r w:rsidRPr="004E687E">
              <w:rPr>
                <w:rFonts w:ascii="Tahoma" w:hAnsi="Tahoma" w:cs="Tahoma"/>
                <w:b/>
                <w:sz w:val="22"/>
                <w:szCs w:val="22"/>
              </w:rPr>
              <w:t xml:space="preserve">„limit“ </w:t>
            </w:r>
            <w:r w:rsidRPr="004E687E">
              <w:rPr>
                <w:rFonts w:ascii="Tahoma" w:hAnsi="Tahoma" w:cs="Tahoma"/>
                <w:b/>
                <w:sz w:val="20"/>
                <w:szCs w:val="20"/>
              </w:rPr>
              <w:t xml:space="preserve"> </w:t>
            </w:r>
          </w:p>
        </w:tc>
        <w:tc>
          <w:tcPr>
            <w:tcW w:w="2268" w:type="dxa"/>
            <w:vAlign w:val="center"/>
          </w:tcPr>
          <w:p w:rsidR="001C4CD3" w:rsidRPr="004E687E" w:rsidRDefault="001C4CD3" w:rsidP="00671DDC">
            <w:pPr>
              <w:jc w:val="center"/>
              <w:rPr>
                <w:rFonts w:ascii="Tahoma" w:hAnsi="Tahoma" w:cs="Tahoma"/>
                <w:b/>
                <w:sz w:val="22"/>
                <w:szCs w:val="22"/>
              </w:rPr>
            </w:pPr>
            <w:r w:rsidRPr="004E687E">
              <w:rPr>
                <w:rFonts w:ascii="Tahoma" w:hAnsi="Tahoma" w:cs="Tahoma"/>
                <w:b/>
                <w:sz w:val="22"/>
                <w:szCs w:val="22"/>
              </w:rPr>
              <w:t>Izvršenje</w:t>
            </w:r>
          </w:p>
          <w:p w:rsidR="001C4CD3" w:rsidRPr="004E687E" w:rsidRDefault="00BD7A95" w:rsidP="00671DDC">
            <w:pPr>
              <w:jc w:val="center"/>
              <w:rPr>
                <w:rFonts w:ascii="Tahoma" w:hAnsi="Tahoma" w:cs="Tahoma"/>
                <w:b/>
                <w:sz w:val="22"/>
                <w:szCs w:val="22"/>
              </w:rPr>
            </w:pPr>
            <w:r w:rsidRPr="004E687E">
              <w:rPr>
                <w:rFonts w:ascii="Tahoma" w:hAnsi="Tahoma" w:cs="Tahoma"/>
                <w:b/>
                <w:sz w:val="22"/>
                <w:szCs w:val="22"/>
              </w:rPr>
              <w:t>2022</w:t>
            </w:r>
          </w:p>
        </w:tc>
        <w:tc>
          <w:tcPr>
            <w:tcW w:w="2551" w:type="dxa"/>
            <w:vAlign w:val="center"/>
          </w:tcPr>
          <w:p w:rsidR="001C4CD3" w:rsidRPr="004E687E" w:rsidRDefault="001C4CD3" w:rsidP="00671DDC">
            <w:pPr>
              <w:jc w:val="center"/>
              <w:rPr>
                <w:rFonts w:ascii="Tahoma" w:hAnsi="Tahoma" w:cs="Tahoma"/>
                <w:b/>
                <w:sz w:val="22"/>
                <w:szCs w:val="22"/>
              </w:rPr>
            </w:pPr>
            <w:r w:rsidRPr="004E687E">
              <w:rPr>
                <w:rFonts w:ascii="Tahoma" w:hAnsi="Tahoma" w:cs="Tahoma"/>
                <w:b/>
                <w:sz w:val="22"/>
                <w:szCs w:val="22"/>
              </w:rPr>
              <w:t xml:space="preserve">Izvršenje </w:t>
            </w:r>
          </w:p>
          <w:p w:rsidR="001C4CD3" w:rsidRPr="004E687E" w:rsidRDefault="00BD7A95" w:rsidP="00671DDC">
            <w:pPr>
              <w:jc w:val="center"/>
              <w:rPr>
                <w:rFonts w:ascii="Tahoma" w:hAnsi="Tahoma" w:cs="Tahoma"/>
                <w:b/>
                <w:sz w:val="22"/>
                <w:szCs w:val="22"/>
              </w:rPr>
            </w:pPr>
            <w:r w:rsidRPr="004E687E">
              <w:rPr>
                <w:rFonts w:ascii="Tahoma" w:hAnsi="Tahoma" w:cs="Tahoma"/>
                <w:b/>
                <w:sz w:val="22"/>
                <w:szCs w:val="22"/>
              </w:rPr>
              <w:t>2023</w:t>
            </w:r>
          </w:p>
        </w:tc>
        <w:tc>
          <w:tcPr>
            <w:tcW w:w="2410" w:type="dxa"/>
            <w:vAlign w:val="center"/>
          </w:tcPr>
          <w:p w:rsidR="001C4CD3" w:rsidRPr="004E687E" w:rsidRDefault="001C4CD3" w:rsidP="00671DDC">
            <w:pPr>
              <w:jc w:val="center"/>
              <w:rPr>
                <w:rFonts w:ascii="Tahoma" w:hAnsi="Tahoma" w:cs="Tahoma"/>
                <w:b/>
                <w:sz w:val="22"/>
                <w:szCs w:val="22"/>
              </w:rPr>
            </w:pPr>
            <w:r w:rsidRPr="004E687E">
              <w:rPr>
                <w:rFonts w:ascii="Tahoma" w:hAnsi="Tahoma" w:cs="Tahoma"/>
                <w:b/>
                <w:sz w:val="22"/>
                <w:szCs w:val="22"/>
              </w:rPr>
              <w:t>Index</w:t>
            </w:r>
          </w:p>
          <w:p w:rsidR="001C4CD3" w:rsidRPr="004E687E" w:rsidRDefault="00BD7A95" w:rsidP="00671DDC">
            <w:pPr>
              <w:jc w:val="center"/>
              <w:rPr>
                <w:rFonts w:ascii="Tahoma" w:hAnsi="Tahoma" w:cs="Tahoma"/>
                <w:b/>
                <w:sz w:val="22"/>
                <w:szCs w:val="22"/>
              </w:rPr>
            </w:pPr>
            <w:r w:rsidRPr="004E687E">
              <w:rPr>
                <w:rFonts w:ascii="Tahoma" w:hAnsi="Tahoma" w:cs="Tahoma"/>
                <w:b/>
                <w:sz w:val="22"/>
                <w:szCs w:val="22"/>
              </w:rPr>
              <w:t>2023</w:t>
            </w:r>
            <w:r w:rsidR="001C4CD3" w:rsidRPr="004E687E">
              <w:rPr>
                <w:rFonts w:ascii="Tahoma" w:hAnsi="Tahoma" w:cs="Tahoma"/>
                <w:b/>
                <w:sz w:val="22"/>
                <w:szCs w:val="22"/>
              </w:rPr>
              <w:t>/202</w:t>
            </w:r>
            <w:r w:rsidRPr="004E687E">
              <w:rPr>
                <w:rFonts w:ascii="Tahoma" w:hAnsi="Tahoma" w:cs="Tahoma"/>
                <w:b/>
                <w:sz w:val="22"/>
                <w:szCs w:val="22"/>
              </w:rPr>
              <w:t>2</w:t>
            </w:r>
          </w:p>
        </w:tc>
      </w:tr>
      <w:tr w:rsidR="001C4CD3" w:rsidRPr="004E687E" w:rsidTr="00671DDC">
        <w:trPr>
          <w:trHeight w:val="461"/>
        </w:trPr>
        <w:tc>
          <w:tcPr>
            <w:tcW w:w="2122" w:type="dxa"/>
            <w:vMerge/>
          </w:tcPr>
          <w:p w:rsidR="001C4CD3" w:rsidRPr="004E687E" w:rsidRDefault="001C4CD3" w:rsidP="00671DDC">
            <w:pPr>
              <w:jc w:val="both"/>
              <w:rPr>
                <w:rFonts w:ascii="Tahoma" w:hAnsi="Tahoma" w:cs="Tahoma"/>
                <w:b/>
                <w:sz w:val="22"/>
                <w:szCs w:val="22"/>
              </w:rPr>
            </w:pPr>
          </w:p>
        </w:tc>
        <w:tc>
          <w:tcPr>
            <w:tcW w:w="2268" w:type="dxa"/>
            <w:vAlign w:val="center"/>
          </w:tcPr>
          <w:p w:rsidR="001C4CD3" w:rsidRPr="004E687E" w:rsidRDefault="00BD7A95" w:rsidP="00671DDC">
            <w:pPr>
              <w:jc w:val="right"/>
              <w:rPr>
                <w:rFonts w:ascii="Tahoma" w:hAnsi="Tahoma" w:cs="Tahoma"/>
                <w:b/>
                <w:color w:val="00B0F0"/>
                <w:sz w:val="22"/>
                <w:szCs w:val="22"/>
              </w:rPr>
            </w:pPr>
            <w:r w:rsidRPr="004E687E">
              <w:rPr>
                <w:rFonts w:ascii="Tahoma" w:hAnsi="Tahoma" w:cs="Tahoma"/>
                <w:b/>
                <w:sz w:val="22"/>
                <w:szCs w:val="22"/>
              </w:rPr>
              <w:t>205.638.622</w:t>
            </w:r>
          </w:p>
        </w:tc>
        <w:tc>
          <w:tcPr>
            <w:tcW w:w="2551" w:type="dxa"/>
            <w:vAlign w:val="center"/>
          </w:tcPr>
          <w:p w:rsidR="001C4CD3" w:rsidRPr="004E687E" w:rsidRDefault="00A804B0" w:rsidP="00671DDC">
            <w:pPr>
              <w:jc w:val="right"/>
              <w:rPr>
                <w:rFonts w:ascii="Tahoma" w:hAnsi="Tahoma" w:cs="Tahoma"/>
                <w:b/>
                <w:color w:val="00B0F0"/>
                <w:sz w:val="22"/>
                <w:szCs w:val="22"/>
              </w:rPr>
            </w:pPr>
            <w:r w:rsidRPr="004E687E">
              <w:rPr>
                <w:rFonts w:ascii="Tahoma" w:hAnsi="Tahoma" w:cs="Tahoma"/>
                <w:b/>
                <w:sz w:val="22"/>
                <w:szCs w:val="22"/>
              </w:rPr>
              <w:t>251.522.345</w:t>
            </w:r>
          </w:p>
        </w:tc>
        <w:tc>
          <w:tcPr>
            <w:tcW w:w="2410" w:type="dxa"/>
            <w:vAlign w:val="center"/>
          </w:tcPr>
          <w:p w:rsidR="001C4CD3" w:rsidRPr="004E687E" w:rsidRDefault="00A804B0" w:rsidP="00671DDC">
            <w:pPr>
              <w:jc w:val="right"/>
              <w:rPr>
                <w:rFonts w:ascii="Tahoma" w:hAnsi="Tahoma" w:cs="Tahoma"/>
                <w:b/>
                <w:sz w:val="22"/>
                <w:szCs w:val="22"/>
              </w:rPr>
            </w:pPr>
            <w:r w:rsidRPr="004E687E">
              <w:rPr>
                <w:rFonts w:ascii="Tahoma" w:hAnsi="Tahoma" w:cs="Tahoma"/>
                <w:b/>
                <w:sz w:val="22"/>
                <w:szCs w:val="22"/>
              </w:rPr>
              <w:t>1,22</w:t>
            </w:r>
          </w:p>
        </w:tc>
      </w:tr>
    </w:tbl>
    <w:p w:rsidR="00235F14" w:rsidRPr="004E687E" w:rsidRDefault="00235F14" w:rsidP="00235F14">
      <w:pPr>
        <w:autoSpaceDE w:val="0"/>
        <w:autoSpaceDN w:val="0"/>
        <w:adjustRightInd w:val="0"/>
        <w:jc w:val="both"/>
        <w:rPr>
          <w:rFonts w:ascii="Tahoma" w:hAnsi="Tahoma" w:cs="Tahoma"/>
          <w:sz w:val="22"/>
          <w:szCs w:val="22"/>
        </w:rPr>
      </w:pPr>
    </w:p>
    <w:p w:rsidR="001C4CD3" w:rsidRPr="004E687E" w:rsidRDefault="001C4CD3" w:rsidP="001C4CD3">
      <w:pPr>
        <w:autoSpaceDE w:val="0"/>
        <w:autoSpaceDN w:val="0"/>
        <w:adjustRightInd w:val="0"/>
        <w:jc w:val="both"/>
        <w:rPr>
          <w:rFonts w:ascii="Tahoma" w:hAnsi="Tahoma" w:cs="Tahoma"/>
          <w:sz w:val="22"/>
          <w:szCs w:val="22"/>
        </w:rPr>
      </w:pPr>
    </w:p>
    <w:p w:rsidR="001C4CD3" w:rsidRPr="00477425" w:rsidRDefault="001C4CD3" w:rsidP="001C4CD3">
      <w:pPr>
        <w:autoSpaceDE w:val="0"/>
        <w:autoSpaceDN w:val="0"/>
        <w:adjustRightInd w:val="0"/>
        <w:jc w:val="both"/>
        <w:rPr>
          <w:rFonts w:ascii="Tahoma" w:hAnsi="Tahoma" w:cs="Tahoma"/>
          <w:sz w:val="22"/>
          <w:szCs w:val="22"/>
        </w:rPr>
      </w:pPr>
      <w:r w:rsidRPr="004E687E">
        <w:rPr>
          <w:rFonts w:ascii="Tahoma" w:hAnsi="Tahoma" w:cs="Tahoma"/>
          <w:sz w:val="22"/>
          <w:szCs w:val="22"/>
        </w:rPr>
        <w:t>Sukladno naputku Ministarstva financija od dana 14. rujna 2020. godine o načinu evidentiranja obveza za primljene predujmove od HZZO-a u poslovnim knjigama i financijskim izvještajima ustanova u zdravstvu, zdravstvena ustanova ne smije zatvoriti obvezu po primljenom predujmu i priznati prihod od HZZO-a na temelju ugovornih obveza, ako HZZO nije iskazao rashod i zatvorio potraživanje za dani predujam u istom izvještajnom razdoblju. Kako je, sukladno dostavljenoj specifikaciji zatvaranja plaćanja te knjigovodstvenoj kartici avansa, u ra</w:t>
      </w:r>
      <w:r w:rsidR="00BD7A95" w:rsidRPr="004E687E">
        <w:rPr>
          <w:rFonts w:ascii="Tahoma" w:hAnsi="Tahoma" w:cs="Tahoma"/>
          <w:sz w:val="22"/>
          <w:szCs w:val="22"/>
        </w:rPr>
        <w:t>zdoblju siječanj – prosinac 2023</w:t>
      </w:r>
      <w:r w:rsidRPr="004E687E">
        <w:rPr>
          <w:rFonts w:ascii="Tahoma" w:hAnsi="Tahoma" w:cs="Tahoma"/>
          <w:sz w:val="22"/>
          <w:szCs w:val="22"/>
        </w:rPr>
        <w:t xml:space="preserve">. godine HZZO zatvorio iznos od </w:t>
      </w:r>
      <w:r w:rsidR="00E80980" w:rsidRPr="004E687E">
        <w:rPr>
          <w:rFonts w:ascii="Tahoma" w:hAnsi="Tahoma" w:cs="Tahoma"/>
          <w:sz w:val="22"/>
          <w:szCs w:val="22"/>
        </w:rPr>
        <w:t>251.522.345</w:t>
      </w:r>
      <w:r w:rsidR="00BD7A95" w:rsidRPr="004E687E">
        <w:rPr>
          <w:rFonts w:ascii="Tahoma" w:hAnsi="Tahoma" w:cs="Tahoma"/>
          <w:sz w:val="22"/>
          <w:szCs w:val="22"/>
        </w:rPr>
        <w:t xml:space="preserve"> EUR </w:t>
      </w:r>
      <w:r w:rsidRPr="004E687E">
        <w:rPr>
          <w:rFonts w:ascii="Tahoma" w:hAnsi="Tahoma" w:cs="Tahoma"/>
          <w:sz w:val="22"/>
          <w:szCs w:val="22"/>
        </w:rPr>
        <w:t>na ime osnovnog iznosa sredstava za zdravstvenu zaštitu, isti je u knjigovodstvenim evidencijama i financijskim izvještajima KBC-a Zagreb priznat kao prihod.</w:t>
      </w:r>
    </w:p>
    <w:p w:rsidR="001C4CD3" w:rsidRPr="00477425" w:rsidRDefault="001C4CD3" w:rsidP="00235F14">
      <w:pPr>
        <w:autoSpaceDE w:val="0"/>
        <w:autoSpaceDN w:val="0"/>
        <w:adjustRightInd w:val="0"/>
        <w:jc w:val="both"/>
        <w:rPr>
          <w:rFonts w:ascii="Tahoma" w:hAnsi="Tahoma" w:cs="Tahoma"/>
          <w:sz w:val="22"/>
          <w:szCs w:val="22"/>
        </w:rPr>
      </w:pPr>
    </w:p>
    <w:p w:rsidR="00235F14" w:rsidRPr="004E687E" w:rsidRDefault="00235F14" w:rsidP="00235F14">
      <w:pPr>
        <w:pStyle w:val="ListParagraph"/>
        <w:numPr>
          <w:ilvl w:val="3"/>
          <w:numId w:val="3"/>
        </w:numPr>
        <w:ind w:left="851" w:hanging="851"/>
        <w:jc w:val="both"/>
        <w:rPr>
          <w:rFonts w:ascii="Tahoma" w:hAnsi="Tahoma" w:cs="Tahoma"/>
          <w:b/>
          <w:sz w:val="22"/>
          <w:szCs w:val="22"/>
        </w:rPr>
      </w:pPr>
      <w:r w:rsidRPr="004E687E">
        <w:rPr>
          <w:rFonts w:ascii="Tahoma" w:hAnsi="Tahoma" w:cs="Tahoma"/>
          <w:b/>
          <w:sz w:val="22"/>
          <w:szCs w:val="22"/>
        </w:rPr>
        <w:t xml:space="preserve"> Prihodi od HZZO-a prema Ugovoru o provođenju bolničke i specijalističko-konzilijarne zdravstvene zaštite bolesnika oboljelih od akutnih bolesti - DTP lista čekanja</w:t>
      </w:r>
    </w:p>
    <w:p w:rsidR="00235F14" w:rsidRPr="004E687E" w:rsidRDefault="00235F14" w:rsidP="00235F14">
      <w:pPr>
        <w:jc w:val="both"/>
        <w:rPr>
          <w:rFonts w:ascii="Tahoma" w:hAnsi="Tahoma" w:cs="Tahoma"/>
          <w:sz w:val="22"/>
          <w:szCs w:val="22"/>
        </w:rPr>
      </w:pPr>
    </w:p>
    <w:p w:rsidR="004A2661" w:rsidRPr="004E687E" w:rsidRDefault="004A2661" w:rsidP="004A2661">
      <w:pPr>
        <w:jc w:val="both"/>
        <w:rPr>
          <w:rFonts w:ascii="Tahoma" w:hAnsi="Tahoma" w:cs="Tahoma"/>
          <w:sz w:val="22"/>
          <w:szCs w:val="22"/>
        </w:rPr>
      </w:pPr>
      <w:r w:rsidRPr="004E687E">
        <w:rPr>
          <w:rFonts w:ascii="Tahoma" w:hAnsi="Tahoma" w:cs="Tahoma"/>
          <w:sz w:val="22"/>
          <w:szCs w:val="22"/>
        </w:rPr>
        <w:t xml:space="preserve">KBC Zagreb je HZZO-u u razdoblju siječanj – prosinac 2023. godine ispostavio račune za DTP postupke koji se posebno plaćaju u iznosu od 8.021.063 EUR što je 512.707 EUR manje od predloženog ugovorenog iznosa (8.533.770 EUR). </w:t>
      </w:r>
    </w:p>
    <w:p w:rsidR="000B3183" w:rsidRPr="004E687E" w:rsidRDefault="000B3183" w:rsidP="00235F14">
      <w:pPr>
        <w:pStyle w:val="t-9-8"/>
        <w:spacing w:before="0" w:beforeAutospacing="0" w:after="0" w:afterAutospacing="0"/>
        <w:jc w:val="both"/>
        <w:rPr>
          <w:rFonts w:ascii="Tahoma" w:hAnsi="Tahoma" w:cs="Tahoma"/>
          <w:sz w:val="22"/>
          <w:szCs w:val="22"/>
          <w:u w:val="single"/>
        </w:rPr>
      </w:pPr>
    </w:p>
    <w:p w:rsidR="00235F14" w:rsidRPr="004E687E" w:rsidRDefault="00235F14" w:rsidP="00235F14">
      <w:pPr>
        <w:pStyle w:val="t-9-8"/>
        <w:numPr>
          <w:ilvl w:val="2"/>
          <w:numId w:val="3"/>
        </w:numPr>
        <w:spacing w:before="0" w:beforeAutospacing="0" w:after="0" w:afterAutospacing="0"/>
        <w:ind w:left="709" w:hanging="709"/>
        <w:jc w:val="both"/>
        <w:rPr>
          <w:rFonts w:ascii="Tahoma" w:hAnsi="Tahoma" w:cs="Tahoma"/>
          <w:b/>
          <w:bCs/>
          <w:sz w:val="22"/>
          <w:szCs w:val="22"/>
        </w:rPr>
      </w:pPr>
      <w:r w:rsidRPr="004E687E">
        <w:rPr>
          <w:rFonts w:ascii="Tahoma" w:hAnsi="Tahoma" w:cs="Tahoma"/>
          <w:b/>
          <w:bCs/>
          <w:sz w:val="22"/>
          <w:szCs w:val="22"/>
        </w:rPr>
        <w:t xml:space="preserve">Prihodi za aktivnosti izvan ugovorenog maksimalnog iznosa sredstava  - </w:t>
      </w:r>
      <w:r w:rsidRPr="004E687E">
        <w:rPr>
          <w:rFonts w:ascii="Tahoma" w:hAnsi="Tahoma" w:cs="Tahoma"/>
          <w:b/>
          <w:bCs/>
          <w:sz w:val="22"/>
          <w:szCs w:val="22"/>
        </w:rPr>
        <w:tab/>
      </w:r>
      <w:r w:rsidRPr="004E687E">
        <w:rPr>
          <w:rFonts w:ascii="Tahoma" w:hAnsi="Tahoma" w:cs="Tahoma"/>
          <w:b/>
          <w:bCs/>
          <w:sz w:val="22"/>
          <w:szCs w:val="22"/>
        </w:rPr>
        <w:tab/>
        <w:t>„limita“</w:t>
      </w:r>
    </w:p>
    <w:p w:rsidR="00235F14" w:rsidRPr="004E687E" w:rsidRDefault="00235F14" w:rsidP="00235F14">
      <w:pPr>
        <w:pStyle w:val="t-9-8"/>
        <w:spacing w:before="0" w:beforeAutospacing="0" w:after="0" w:afterAutospacing="0"/>
        <w:jc w:val="both"/>
        <w:rPr>
          <w:rFonts w:ascii="Tahoma" w:hAnsi="Tahoma" w:cs="Tahoma"/>
          <w:b/>
          <w:bCs/>
          <w:sz w:val="22"/>
          <w:szCs w:val="22"/>
        </w:rPr>
      </w:pPr>
    </w:p>
    <w:p w:rsidR="00235F14" w:rsidRPr="004E687E" w:rsidRDefault="00235F14" w:rsidP="00235F14">
      <w:pPr>
        <w:pStyle w:val="t-9-8"/>
        <w:spacing w:before="0" w:beforeAutospacing="0" w:after="0" w:afterAutospacing="0"/>
        <w:jc w:val="both"/>
        <w:rPr>
          <w:rFonts w:ascii="Tahoma" w:hAnsi="Tahoma" w:cs="Tahoma"/>
          <w:sz w:val="22"/>
          <w:szCs w:val="22"/>
        </w:rPr>
      </w:pPr>
      <w:r w:rsidRPr="004E687E">
        <w:rPr>
          <w:rFonts w:ascii="Tahoma" w:hAnsi="Tahoma" w:cs="Tahoma"/>
          <w:sz w:val="22"/>
          <w:szCs w:val="22"/>
          <w:u w:val="single"/>
        </w:rPr>
        <w:t>Prihodi za aktivnosti izvan ugovorenog maksimalnog iznosa sredstava – „limita“</w:t>
      </w:r>
      <w:r w:rsidRPr="004E687E">
        <w:rPr>
          <w:rFonts w:ascii="Tahoma" w:hAnsi="Tahoma" w:cs="Tahoma"/>
          <w:sz w:val="22"/>
          <w:szCs w:val="22"/>
        </w:rPr>
        <w:t xml:space="preserve"> u </w:t>
      </w:r>
      <w:r w:rsidR="004A2661" w:rsidRPr="004E687E">
        <w:rPr>
          <w:rFonts w:ascii="Tahoma" w:hAnsi="Tahoma" w:cs="Tahoma"/>
          <w:sz w:val="22"/>
          <w:szCs w:val="22"/>
        </w:rPr>
        <w:t>razdoblju siječanj-prosinac 2023</w:t>
      </w:r>
      <w:r w:rsidRPr="004E687E">
        <w:rPr>
          <w:rFonts w:ascii="Tahoma" w:hAnsi="Tahoma" w:cs="Tahoma"/>
          <w:sz w:val="22"/>
          <w:szCs w:val="22"/>
        </w:rPr>
        <w:t xml:space="preserve">. godine iznosili su </w:t>
      </w:r>
      <w:r w:rsidR="00CB622C" w:rsidRPr="004E687E">
        <w:rPr>
          <w:rFonts w:ascii="Tahoma" w:hAnsi="Tahoma" w:cs="Tahoma"/>
          <w:sz w:val="22"/>
          <w:szCs w:val="22"/>
        </w:rPr>
        <w:t>179.476.792 EUR, što je za 6,1</w:t>
      </w:r>
      <w:r w:rsidRPr="004E687E">
        <w:rPr>
          <w:rFonts w:ascii="Tahoma" w:hAnsi="Tahoma" w:cs="Tahoma"/>
          <w:sz w:val="22"/>
          <w:szCs w:val="22"/>
        </w:rPr>
        <w:t>% više u odnosu na isto razdoblje prethodne godine.</w:t>
      </w:r>
    </w:p>
    <w:p w:rsidR="00235F14" w:rsidRPr="004E687E" w:rsidRDefault="00235F14" w:rsidP="00235F14">
      <w:pPr>
        <w:pStyle w:val="t-9-8"/>
        <w:spacing w:before="0" w:beforeAutospacing="0" w:after="0" w:afterAutospacing="0"/>
        <w:ind w:left="720"/>
        <w:jc w:val="both"/>
        <w:rPr>
          <w:rFonts w:ascii="Tahoma" w:hAnsi="Tahoma" w:cs="Tahoma"/>
          <w:sz w:val="22"/>
          <w:szCs w:val="22"/>
        </w:rPr>
      </w:pPr>
    </w:p>
    <w:tbl>
      <w:tblPr>
        <w:tblStyle w:val="TableGrid"/>
        <w:tblW w:w="0" w:type="auto"/>
        <w:tblLook w:val="04A0" w:firstRow="1" w:lastRow="0" w:firstColumn="1" w:lastColumn="0" w:noHBand="0" w:noVBand="1"/>
      </w:tblPr>
      <w:tblGrid>
        <w:gridCol w:w="2552"/>
        <w:gridCol w:w="1984"/>
        <w:gridCol w:w="1980"/>
        <w:gridCol w:w="1984"/>
      </w:tblGrid>
      <w:tr w:rsidR="00235F14" w:rsidRPr="004E687E" w:rsidTr="004A2661">
        <w:trPr>
          <w:trHeight w:val="609"/>
        </w:trPr>
        <w:tc>
          <w:tcPr>
            <w:tcW w:w="2552" w:type="dxa"/>
            <w:vMerge w:val="restart"/>
            <w:vAlign w:val="center"/>
          </w:tcPr>
          <w:p w:rsidR="00235F14" w:rsidRPr="004E687E" w:rsidRDefault="00235F14" w:rsidP="004A2661">
            <w:pPr>
              <w:ind w:right="-41"/>
              <w:jc w:val="center"/>
              <w:rPr>
                <w:rFonts w:ascii="Tahoma" w:hAnsi="Tahoma" w:cs="Tahoma"/>
                <w:b/>
                <w:sz w:val="22"/>
                <w:szCs w:val="22"/>
              </w:rPr>
            </w:pPr>
            <w:r w:rsidRPr="004E687E">
              <w:rPr>
                <w:rFonts w:ascii="Tahoma" w:hAnsi="Tahoma" w:cs="Tahoma"/>
                <w:b/>
                <w:sz w:val="22"/>
                <w:szCs w:val="22"/>
              </w:rPr>
              <w:t xml:space="preserve">Prihodi za posebne namjene HZZO – izvan proračuna </w:t>
            </w:r>
          </w:p>
        </w:tc>
        <w:tc>
          <w:tcPr>
            <w:tcW w:w="1984" w:type="dxa"/>
            <w:vAlign w:val="center"/>
          </w:tcPr>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Izvršenje</w:t>
            </w:r>
          </w:p>
          <w:p w:rsidR="00235F14" w:rsidRPr="004E687E" w:rsidRDefault="004A2661" w:rsidP="00222CA9">
            <w:pPr>
              <w:jc w:val="center"/>
              <w:rPr>
                <w:rFonts w:ascii="Tahoma" w:hAnsi="Tahoma" w:cs="Tahoma"/>
                <w:b/>
                <w:sz w:val="22"/>
                <w:szCs w:val="22"/>
              </w:rPr>
            </w:pPr>
            <w:r w:rsidRPr="004E687E">
              <w:rPr>
                <w:rFonts w:ascii="Tahoma" w:hAnsi="Tahoma" w:cs="Tahoma"/>
                <w:b/>
                <w:sz w:val="22"/>
                <w:szCs w:val="22"/>
              </w:rPr>
              <w:t>2022</w:t>
            </w:r>
          </w:p>
        </w:tc>
        <w:tc>
          <w:tcPr>
            <w:tcW w:w="1980" w:type="dxa"/>
            <w:vAlign w:val="center"/>
          </w:tcPr>
          <w:p w:rsidR="00235F14" w:rsidRPr="004E687E" w:rsidRDefault="004A2661" w:rsidP="00222CA9">
            <w:pPr>
              <w:jc w:val="center"/>
              <w:rPr>
                <w:rFonts w:ascii="Tahoma" w:hAnsi="Tahoma" w:cs="Tahoma"/>
                <w:b/>
                <w:sz w:val="22"/>
                <w:szCs w:val="22"/>
              </w:rPr>
            </w:pPr>
            <w:r w:rsidRPr="004E687E">
              <w:rPr>
                <w:rFonts w:ascii="Tahoma" w:hAnsi="Tahoma" w:cs="Tahoma"/>
                <w:b/>
                <w:sz w:val="22"/>
                <w:szCs w:val="22"/>
              </w:rPr>
              <w:t>Izvršenje      2023</w:t>
            </w:r>
          </w:p>
        </w:tc>
        <w:tc>
          <w:tcPr>
            <w:tcW w:w="1984" w:type="dxa"/>
            <w:vAlign w:val="center"/>
          </w:tcPr>
          <w:p w:rsidR="00235F14" w:rsidRPr="004E687E" w:rsidRDefault="00235F14" w:rsidP="00222CA9">
            <w:pPr>
              <w:jc w:val="center"/>
              <w:rPr>
                <w:rFonts w:ascii="Tahoma" w:hAnsi="Tahoma" w:cs="Tahoma"/>
                <w:b/>
                <w:sz w:val="22"/>
                <w:szCs w:val="22"/>
              </w:rPr>
            </w:pPr>
            <w:r w:rsidRPr="004E687E">
              <w:rPr>
                <w:rFonts w:ascii="Tahoma" w:hAnsi="Tahoma" w:cs="Tahoma"/>
                <w:b/>
                <w:sz w:val="22"/>
                <w:szCs w:val="22"/>
              </w:rPr>
              <w:t>Index</w:t>
            </w:r>
          </w:p>
          <w:p w:rsidR="00235F14" w:rsidRPr="004E687E" w:rsidRDefault="004A2661" w:rsidP="00222CA9">
            <w:pPr>
              <w:jc w:val="center"/>
              <w:rPr>
                <w:rFonts w:ascii="Tahoma" w:hAnsi="Tahoma" w:cs="Tahoma"/>
                <w:b/>
                <w:sz w:val="22"/>
                <w:szCs w:val="22"/>
              </w:rPr>
            </w:pPr>
            <w:r w:rsidRPr="004E687E">
              <w:rPr>
                <w:rFonts w:ascii="Tahoma" w:hAnsi="Tahoma" w:cs="Tahoma"/>
                <w:b/>
                <w:sz w:val="22"/>
                <w:szCs w:val="22"/>
              </w:rPr>
              <w:t>2023</w:t>
            </w:r>
            <w:r w:rsidR="00235F14" w:rsidRPr="004E687E">
              <w:rPr>
                <w:rFonts w:ascii="Tahoma" w:hAnsi="Tahoma" w:cs="Tahoma"/>
                <w:b/>
                <w:sz w:val="22"/>
                <w:szCs w:val="22"/>
              </w:rPr>
              <w:t>/202</w:t>
            </w:r>
            <w:r w:rsidRPr="004E687E">
              <w:rPr>
                <w:rFonts w:ascii="Tahoma" w:hAnsi="Tahoma" w:cs="Tahoma"/>
                <w:b/>
                <w:sz w:val="22"/>
                <w:szCs w:val="22"/>
              </w:rPr>
              <w:t>2</w:t>
            </w:r>
          </w:p>
        </w:tc>
      </w:tr>
      <w:tr w:rsidR="00235F14" w:rsidRPr="004E687E" w:rsidTr="004A2661">
        <w:trPr>
          <w:trHeight w:val="350"/>
        </w:trPr>
        <w:tc>
          <w:tcPr>
            <w:tcW w:w="2552" w:type="dxa"/>
            <w:vMerge/>
          </w:tcPr>
          <w:p w:rsidR="00235F14" w:rsidRPr="004E687E" w:rsidRDefault="00235F14" w:rsidP="00222CA9">
            <w:pPr>
              <w:jc w:val="both"/>
              <w:rPr>
                <w:rFonts w:ascii="Tahoma" w:hAnsi="Tahoma" w:cs="Tahoma"/>
                <w:b/>
                <w:sz w:val="22"/>
                <w:szCs w:val="22"/>
              </w:rPr>
            </w:pPr>
          </w:p>
        </w:tc>
        <w:tc>
          <w:tcPr>
            <w:tcW w:w="1984" w:type="dxa"/>
            <w:vAlign w:val="center"/>
          </w:tcPr>
          <w:p w:rsidR="00235F14" w:rsidRPr="004E687E" w:rsidRDefault="004A2661" w:rsidP="00222CA9">
            <w:pPr>
              <w:jc w:val="center"/>
              <w:rPr>
                <w:rFonts w:ascii="Tahoma" w:hAnsi="Tahoma" w:cs="Tahoma"/>
                <w:b/>
                <w:color w:val="00B0F0"/>
                <w:sz w:val="22"/>
                <w:szCs w:val="22"/>
              </w:rPr>
            </w:pPr>
            <w:r w:rsidRPr="004E687E">
              <w:rPr>
                <w:rFonts w:ascii="Tahoma" w:hAnsi="Tahoma" w:cs="Tahoma"/>
                <w:b/>
                <w:sz w:val="22"/>
                <w:szCs w:val="22"/>
              </w:rPr>
              <w:t xml:space="preserve">     169.193.049</w:t>
            </w:r>
          </w:p>
        </w:tc>
        <w:tc>
          <w:tcPr>
            <w:tcW w:w="1980" w:type="dxa"/>
            <w:vAlign w:val="center"/>
          </w:tcPr>
          <w:p w:rsidR="00235F14" w:rsidRPr="004E687E" w:rsidRDefault="004A2661" w:rsidP="00222CA9">
            <w:pPr>
              <w:jc w:val="center"/>
              <w:rPr>
                <w:rFonts w:ascii="Tahoma" w:hAnsi="Tahoma" w:cs="Tahoma"/>
                <w:b/>
                <w:color w:val="00B0F0"/>
                <w:sz w:val="22"/>
                <w:szCs w:val="22"/>
              </w:rPr>
            </w:pPr>
            <w:r w:rsidRPr="004E687E">
              <w:rPr>
                <w:rFonts w:ascii="Tahoma" w:hAnsi="Tahoma" w:cs="Tahoma"/>
                <w:b/>
                <w:sz w:val="22"/>
                <w:szCs w:val="22"/>
              </w:rPr>
              <w:t xml:space="preserve">     179.476.792</w:t>
            </w:r>
          </w:p>
        </w:tc>
        <w:tc>
          <w:tcPr>
            <w:tcW w:w="1984" w:type="dxa"/>
            <w:vAlign w:val="center"/>
          </w:tcPr>
          <w:p w:rsidR="00235F14" w:rsidRPr="004E687E" w:rsidRDefault="00235F14" w:rsidP="00222CA9">
            <w:pPr>
              <w:jc w:val="right"/>
              <w:rPr>
                <w:rFonts w:ascii="Tahoma" w:hAnsi="Tahoma" w:cs="Tahoma"/>
                <w:b/>
                <w:sz w:val="22"/>
                <w:szCs w:val="22"/>
              </w:rPr>
            </w:pPr>
            <w:r w:rsidRPr="004E687E">
              <w:rPr>
                <w:rFonts w:ascii="Tahoma" w:hAnsi="Tahoma" w:cs="Tahoma"/>
                <w:b/>
                <w:sz w:val="22"/>
                <w:szCs w:val="22"/>
              </w:rPr>
              <w:t>1,</w:t>
            </w:r>
            <w:r w:rsidR="004A2661" w:rsidRPr="004E687E">
              <w:rPr>
                <w:rFonts w:ascii="Tahoma" w:hAnsi="Tahoma" w:cs="Tahoma"/>
                <w:b/>
                <w:sz w:val="22"/>
                <w:szCs w:val="22"/>
              </w:rPr>
              <w:t>06</w:t>
            </w:r>
          </w:p>
        </w:tc>
      </w:tr>
    </w:tbl>
    <w:p w:rsidR="00DF2563" w:rsidRPr="004E687E" w:rsidRDefault="00DF2563" w:rsidP="00235F14">
      <w:pPr>
        <w:pStyle w:val="t-9-8"/>
        <w:spacing w:before="0" w:beforeAutospacing="0" w:after="0" w:afterAutospacing="0"/>
        <w:jc w:val="both"/>
        <w:rPr>
          <w:rFonts w:ascii="Tahoma" w:hAnsi="Tahoma" w:cs="Tahoma"/>
          <w:b/>
          <w:sz w:val="22"/>
          <w:szCs w:val="22"/>
        </w:rPr>
      </w:pPr>
    </w:p>
    <w:p w:rsidR="00391027" w:rsidRDefault="00391027" w:rsidP="00235F14">
      <w:pPr>
        <w:jc w:val="both"/>
        <w:rPr>
          <w:rFonts w:ascii="Tahoma" w:hAnsi="Tahoma" w:cs="Tahoma"/>
          <w:b/>
          <w:sz w:val="22"/>
          <w:szCs w:val="22"/>
        </w:rPr>
      </w:pPr>
    </w:p>
    <w:p w:rsidR="004865BC" w:rsidRPr="004E687E" w:rsidRDefault="004865BC" w:rsidP="004865BC">
      <w:pPr>
        <w:pStyle w:val="ListParagraph"/>
        <w:numPr>
          <w:ilvl w:val="1"/>
          <w:numId w:val="1"/>
        </w:numPr>
        <w:shd w:val="clear" w:color="auto" w:fill="FFFFFF"/>
        <w:ind w:left="709" w:hanging="709"/>
        <w:jc w:val="both"/>
        <w:rPr>
          <w:rFonts w:ascii="Tahoma" w:hAnsi="Tahoma" w:cs="Tahoma"/>
          <w:b/>
          <w:sz w:val="22"/>
          <w:szCs w:val="22"/>
        </w:rPr>
      </w:pPr>
      <w:r w:rsidRPr="004E687E">
        <w:rPr>
          <w:rFonts w:ascii="Tahoma" w:hAnsi="Tahoma" w:cs="Tahoma"/>
          <w:b/>
          <w:sz w:val="22"/>
          <w:szCs w:val="22"/>
        </w:rPr>
        <w:t>TEKUĆE POMOĆI OD INSTITUCIJA I TIJELA EU</w:t>
      </w:r>
    </w:p>
    <w:p w:rsidR="004865BC" w:rsidRPr="004E687E" w:rsidRDefault="004865BC" w:rsidP="004865BC">
      <w:pPr>
        <w:shd w:val="clear" w:color="auto" w:fill="FFFFFF"/>
        <w:jc w:val="both"/>
        <w:rPr>
          <w:rFonts w:ascii="Tahoma" w:hAnsi="Tahoma" w:cs="Tahoma"/>
          <w:b/>
          <w:sz w:val="22"/>
          <w:szCs w:val="22"/>
        </w:rPr>
      </w:pPr>
    </w:p>
    <w:p w:rsidR="004865BC" w:rsidRDefault="004865BC" w:rsidP="004865BC">
      <w:pPr>
        <w:jc w:val="both"/>
        <w:rPr>
          <w:rFonts w:ascii="Tahoma" w:hAnsi="Tahoma" w:cs="Tahoma"/>
          <w:sz w:val="22"/>
          <w:szCs w:val="22"/>
        </w:rPr>
      </w:pPr>
      <w:r w:rsidRPr="004E687E">
        <w:rPr>
          <w:rFonts w:ascii="Tahoma" w:hAnsi="Tahoma" w:cs="Tahoma"/>
          <w:b/>
          <w:sz w:val="22"/>
          <w:szCs w:val="22"/>
          <w:u w:val="single"/>
        </w:rPr>
        <w:t>Tekuće pomoći od institucija i tijela EU (Šifra 6323)</w:t>
      </w:r>
      <w:r w:rsidRPr="004E687E">
        <w:rPr>
          <w:rFonts w:ascii="Tahoma" w:hAnsi="Tahoma" w:cs="Tahoma"/>
          <w:sz w:val="22"/>
          <w:szCs w:val="22"/>
        </w:rPr>
        <w:t xml:space="preserve"> u razdoblju siječanj-prosinac 2023. godine iznose 209.673 EUR. Povećanje tekućih pomoći u razdoblju siječanj-prosinac 2023. godine u odnosu na isto razdoblje prethodne godine rezultat je primljenih sredstava za projekte „Jačanje probira raka pluća u Europi - SOLACE“ i „Provedba probira raka želuca u zemljama Europske unije – TOGAS“ unutar četvrtog programa „EU za zdravlje” koji je uspostavljen </w:t>
      </w:r>
      <w:hyperlink r:id="rId8" w:history="1">
        <w:r w:rsidRPr="004E687E">
          <w:rPr>
            <w:rFonts w:ascii="Tahoma" w:hAnsi="Tahoma" w:cs="Tahoma"/>
            <w:sz w:val="22"/>
            <w:szCs w:val="22"/>
          </w:rPr>
          <w:t>Uredbom (EU) 2021/522</w:t>
        </w:r>
      </w:hyperlink>
      <w:r w:rsidRPr="004E687E">
        <w:rPr>
          <w:rFonts w:ascii="Tahoma" w:hAnsi="Tahoma" w:cs="Tahoma"/>
          <w:sz w:val="22"/>
          <w:szCs w:val="22"/>
        </w:rPr>
        <w:t>, a provodi ga Europska izvršna agencija za zdravlje i digitalno gospodarstvo (</w:t>
      </w:r>
      <w:proofErr w:type="spellStart"/>
      <w:r w:rsidR="004E687E" w:rsidRPr="004E687E">
        <w:fldChar w:fldCharType="begin"/>
      </w:r>
      <w:r w:rsidR="004E687E" w:rsidRPr="004E687E">
        <w:instrText xml:space="preserve"> HYPERLINK "https://hadea.ec.europa.eu/index_en" </w:instrText>
      </w:r>
      <w:r w:rsidR="004E687E" w:rsidRPr="004E687E">
        <w:fldChar w:fldCharType="separate"/>
      </w:r>
      <w:r w:rsidRPr="004E687E">
        <w:rPr>
          <w:rFonts w:ascii="Tahoma" w:hAnsi="Tahoma" w:cs="Tahoma"/>
          <w:sz w:val="22"/>
          <w:szCs w:val="22"/>
        </w:rPr>
        <w:t>HaDEA</w:t>
      </w:r>
      <w:proofErr w:type="spellEnd"/>
      <w:r w:rsidR="004E687E" w:rsidRPr="004E687E">
        <w:rPr>
          <w:rFonts w:ascii="Tahoma" w:hAnsi="Tahoma" w:cs="Tahoma"/>
          <w:sz w:val="22"/>
          <w:szCs w:val="22"/>
        </w:rPr>
        <w:fldChar w:fldCharType="end"/>
      </w:r>
      <w:r w:rsidRPr="004E687E">
        <w:rPr>
          <w:rFonts w:ascii="Tahoma" w:hAnsi="Tahoma" w:cs="Tahoma"/>
          <w:sz w:val="22"/>
          <w:szCs w:val="22"/>
        </w:rPr>
        <w:t>), kao i primljenih sredstava za projekt EDU-FIT iz programa ERASMUS+ kojeg financira Europska komisija.</w:t>
      </w:r>
    </w:p>
    <w:p w:rsidR="009077EB" w:rsidRDefault="009077EB" w:rsidP="004865BC">
      <w:pPr>
        <w:jc w:val="both"/>
        <w:rPr>
          <w:rFonts w:ascii="Tahoma" w:hAnsi="Tahoma" w:cs="Tahoma"/>
          <w:sz w:val="22"/>
          <w:szCs w:val="22"/>
        </w:rPr>
      </w:pPr>
    </w:p>
    <w:p w:rsidR="009077EB" w:rsidRDefault="009077EB" w:rsidP="004865BC">
      <w:pPr>
        <w:jc w:val="both"/>
        <w:rPr>
          <w:rFonts w:ascii="Tahoma" w:hAnsi="Tahoma" w:cs="Tahoma"/>
          <w:sz w:val="22"/>
          <w:szCs w:val="22"/>
        </w:rPr>
      </w:pPr>
    </w:p>
    <w:p w:rsidR="009077EB" w:rsidRDefault="009077EB" w:rsidP="004865BC">
      <w:pPr>
        <w:jc w:val="both"/>
        <w:rPr>
          <w:rFonts w:ascii="Tahoma" w:hAnsi="Tahoma" w:cs="Tahoma"/>
          <w:sz w:val="22"/>
          <w:szCs w:val="22"/>
        </w:rPr>
      </w:pPr>
    </w:p>
    <w:p w:rsidR="009077EB" w:rsidRPr="004E687E" w:rsidRDefault="009077EB" w:rsidP="004865BC">
      <w:pPr>
        <w:jc w:val="both"/>
        <w:rPr>
          <w:rFonts w:ascii="Tahoma" w:hAnsi="Tahoma" w:cs="Tahoma"/>
          <w:sz w:val="22"/>
          <w:szCs w:val="22"/>
        </w:rPr>
      </w:pPr>
    </w:p>
    <w:p w:rsidR="004865BC" w:rsidRPr="004E687E" w:rsidRDefault="004865BC" w:rsidP="004865BC">
      <w:pPr>
        <w:shd w:val="clear" w:color="auto" w:fill="FFFFFF"/>
        <w:jc w:val="both"/>
        <w:rPr>
          <w:rFonts w:ascii="Tahoma" w:hAnsi="Tahoma" w:cs="Tahoma"/>
          <w:b/>
          <w:sz w:val="22"/>
          <w:szCs w:val="22"/>
        </w:rPr>
      </w:pPr>
    </w:p>
    <w:p w:rsidR="004865BC" w:rsidRPr="004E687E" w:rsidRDefault="004865BC" w:rsidP="004865BC">
      <w:pPr>
        <w:pStyle w:val="ListParagraph"/>
        <w:numPr>
          <w:ilvl w:val="1"/>
          <w:numId w:val="1"/>
        </w:numPr>
        <w:shd w:val="clear" w:color="auto" w:fill="FFFFFF"/>
        <w:ind w:left="709" w:hanging="709"/>
        <w:jc w:val="both"/>
        <w:rPr>
          <w:rFonts w:ascii="Tahoma" w:hAnsi="Tahoma" w:cs="Tahoma"/>
          <w:b/>
          <w:sz w:val="22"/>
          <w:szCs w:val="22"/>
        </w:rPr>
      </w:pPr>
      <w:r w:rsidRPr="004E687E">
        <w:rPr>
          <w:rFonts w:ascii="Tahoma" w:hAnsi="Tahoma" w:cs="Tahoma"/>
          <w:b/>
          <w:sz w:val="22"/>
          <w:szCs w:val="22"/>
        </w:rPr>
        <w:lastRenderedPageBreak/>
        <w:t>KAPITALNE POMOĆI OD INSTITUCIJA I TIJELA EU</w:t>
      </w:r>
    </w:p>
    <w:p w:rsidR="004865BC" w:rsidRPr="004E687E" w:rsidRDefault="004865BC" w:rsidP="004865BC">
      <w:pPr>
        <w:shd w:val="clear" w:color="auto" w:fill="FFFFFF"/>
        <w:jc w:val="both"/>
        <w:rPr>
          <w:rFonts w:ascii="Tahoma" w:hAnsi="Tahoma" w:cs="Tahoma"/>
          <w:b/>
          <w:sz w:val="22"/>
          <w:szCs w:val="22"/>
        </w:rPr>
      </w:pPr>
    </w:p>
    <w:p w:rsidR="004865BC" w:rsidRPr="004E687E" w:rsidRDefault="004865BC" w:rsidP="004865BC">
      <w:pPr>
        <w:shd w:val="clear" w:color="auto" w:fill="FFFFFF"/>
        <w:jc w:val="both"/>
        <w:rPr>
          <w:rFonts w:ascii="Tahoma" w:hAnsi="Tahoma" w:cs="Tahoma"/>
          <w:sz w:val="22"/>
          <w:szCs w:val="22"/>
        </w:rPr>
      </w:pPr>
      <w:r w:rsidRPr="004E687E">
        <w:rPr>
          <w:rFonts w:ascii="Tahoma" w:hAnsi="Tahoma" w:cs="Tahoma"/>
          <w:b/>
          <w:sz w:val="22"/>
          <w:szCs w:val="22"/>
          <w:u w:val="single"/>
        </w:rPr>
        <w:t>Kapitalne pomoći od institucija i tijela EU (Šifra 6324)</w:t>
      </w:r>
      <w:r w:rsidRPr="004E687E">
        <w:rPr>
          <w:rFonts w:ascii="Tahoma" w:hAnsi="Tahoma" w:cs="Tahoma"/>
          <w:sz w:val="22"/>
          <w:szCs w:val="22"/>
        </w:rPr>
        <w:t xml:space="preserve"> u razdoblju siječanj-prosinac 2023. godine iznose 15.639.459 EUR, a odnose se na primljena sredstava temeljem potpisanih Ugovora i dodataka Ugovorima o dodjeli bespovratnih financijskih sredstava za operacije koje se financiraju iz Fonda solidarnosti Europske unije za projekte obnove šteta od potresa. Navedena sredstva namijenjena su za hitne mjere zaštite, utvrđivanja stanja i izrade snimki zatečenog stanja te izradu dokumentacije za provedbu i samu provedbu cjelovite obnove koja podrazumijeva dodatno poboljšanje konstrukcija uz prilagodbu suvremenim standardima zgrada Klinike za ženske bolesti i porode, Klinike za plućne bolesti, Žute zgrade i Glavne zgrade koje su sastavni dio KBC-a Zagreb.</w:t>
      </w:r>
    </w:p>
    <w:p w:rsidR="004865BC" w:rsidRPr="004E687E" w:rsidRDefault="004865BC" w:rsidP="004865BC">
      <w:pPr>
        <w:shd w:val="clear" w:color="auto" w:fill="FFFFFF"/>
        <w:jc w:val="both"/>
        <w:rPr>
          <w:rFonts w:ascii="Tahoma" w:hAnsi="Tahoma" w:cs="Tahoma"/>
          <w:b/>
          <w:sz w:val="22"/>
          <w:szCs w:val="22"/>
        </w:rPr>
      </w:pPr>
    </w:p>
    <w:p w:rsidR="004865BC" w:rsidRPr="004E687E" w:rsidRDefault="004865BC" w:rsidP="004865BC">
      <w:pPr>
        <w:pStyle w:val="ListParagraph"/>
        <w:numPr>
          <w:ilvl w:val="1"/>
          <w:numId w:val="1"/>
        </w:numPr>
        <w:shd w:val="clear" w:color="auto" w:fill="FFFFFF"/>
        <w:ind w:left="709" w:hanging="709"/>
        <w:jc w:val="both"/>
        <w:rPr>
          <w:rFonts w:ascii="Tahoma" w:hAnsi="Tahoma" w:cs="Tahoma"/>
          <w:b/>
          <w:sz w:val="22"/>
          <w:szCs w:val="22"/>
        </w:rPr>
      </w:pPr>
      <w:r w:rsidRPr="004E687E">
        <w:rPr>
          <w:rFonts w:ascii="Tahoma" w:hAnsi="Tahoma" w:cs="Tahoma"/>
          <w:b/>
          <w:sz w:val="22"/>
          <w:szCs w:val="22"/>
        </w:rPr>
        <w:t>TEKUĆE POMOĆI OD IZVANPRORAČUNSKIH KORISNIKA</w:t>
      </w:r>
    </w:p>
    <w:p w:rsidR="004865BC" w:rsidRPr="004E687E" w:rsidRDefault="004865BC" w:rsidP="004865BC">
      <w:pPr>
        <w:shd w:val="clear" w:color="auto" w:fill="FFFFFF"/>
        <w:jc w:val="both"/>
        <w:rPr>
          <w:rFonts w:ascii="Tahoma" w:hAnsi="Tahoma" w:cs="Tahoma"/>
          <w:b/>
          <w:sz w:val="22"/>
          <w:szCs w:val="22"/>
        </w:rPr>
      </w:pPr>
    </w:p>
    <w:p w:rsidR="004865BC" w:rsidRPr="004E687E" w:rsidRDefault="004865BC" w:rsidP="004865BC">
      <w:pPr>
        <w:jc w:val="both"/>
        <w:rPr>
          <w:rFonts w:ascii="Tahoma" w:hAnsi="Tahoma" w:cs="Tahoma"/>
          <w:sz w:val="22"/>
          <w:szCs w:val="22"/>
        </w:rPr>
      </w:pPr>
      <w:r w:rsidRPr="004E687E">
        <w:rPr>
          <w:rFonts w:ascii="Tahoma" w:hAnsi="Tahoma" w:cs="Tahoma"/>
          <w:b/>
          <w:sz w:val="22"/>
          <w:szCs w:val="22"/>
          <w:u w:val="single"/>
        </w:rPr>
        <w:t>Tekuće pomoći od izvanproračunskih korisnika (Šifra 6341)</w:t>
      </w:r>
      <w:r w:rsidRPr="004E687E">
        <w:rPr>
          <w:rFonts w:ascii="Tahoma" w:hAnsi="Tahoma" w:cs="Tahoma"/>
          <w:sz w:val="22"/>
          <w:szCs w:val="22"/>
        </w:rPr>
        <w:t xml:space="preserve"> u razdoblju siječanj-prosinac 2023. godine iznose 32.289.203 EUR. Povećanje tekućih pomoći u razdoblju siječanj-prosinac 2023. godine u odnosu na isto razdoblje prethodne godine rezultat je primljenih sredstava od HZZO-a sukladno Odlukama Vlade Republike Hrvatske o isplati namjenske pomoći za podmirivanje dijela dospjelih obveza bolničkih zdravstvenih ustanova u ukupnom iznosu od 30.646.585 EUR. Tekuće pomoći od izvanproračunskih korisnika odnose se i na sredstva primljena od Hrvatskog zavoda za zapošljavanje, a prema Ugovorima o dodjeli državne potpore za sufinanciranje zapošljavanja za stjecanje prvog radnog iskustva/pripravništva sklopljenim između Hrvatskog zavoda za zapošljavanje i KBC-a Zagreb te primljenih sredstava od HZZO-a na ime </w:t>
      </w:r>
      <w:proofErr w:type="spellStart"/>
      <w:r w:rsidRPr="004E687E">
        <w:rPr>
          <w:rFonts w:ascii="Tahoma" w:hAnsi="Tahoma" w:cs="Tahoma"/>
          <w:sz w:val="22"/>
          <w:szCs w:val="22"/>
        </w:rPr>
        <w:t>Covid</w:t>
      </w:r>
      <w:proofErr w:type="spellEnd"/>
      <w:r w:rsidRPr="004E687E">
        <w:rPr>
          <w:rFonts w:ascii="Tahoma" w:hAnsi="Tahoma" w:cs="Tahoma"/>
          <w:sz w:val="22"/>
          <w:szCs w:val="22"/>
        </w:rPr>
        <w:t xml:space="preserve"> dodatka u plaći, za radnike u sustavu zdravstva koji obavljaju poslove vezane za pružanje zdravstvene skrbi pacijentima oboljelima od bolesti COVID-19 (temeljem Odluke Vlade RH - NN 136/2020). </w:t>
      </w:r>
    </w:p>
    <w:p w:rsidR="004865BC" w:rsidRPr="004E687E" w:rsidRDefault="004865BC" w:rsidP="004865BC">
      <w:pPr>
        <w:jc w:val="both"/>
        <w:rPr>
          <w:rFonts w:ascii="Tahoma" w:hAnsi="Tahoma" w:cs="Tahoma"/>
          <w:sz w:val="22"/>
          <w:szCs w:val="22"/>
        </w:rPr>
      </w:pPr>
    </w:p>
    <w:tbl>
      <w:tblPr>
        <w:tblStyle w:val="TableGrid"/>
        <w:tblW w:w="0" w:type="auto"/>
        <w:tblLook w:val="04A0" w:firstRow="1" w:lastRow="0" w:firstColumn="1" w:lastColumn="0" w:noHBand="0" w:noVBand="1"/>
      </w:tblPr>
      <w:tblGrid>
        <w:gridCol w:w="2552"/>
        <w:gridCol w:w="1838"/>
        <w:gridCol w:w="1984"/>
        <w:gridCol w:w="2552"/>
      </w:tblGrid>
      <w:tr w:rsidR="004865BC" w:rsidRPr="004E687E" w:rsidTr="00A40DC7">
        <w:trPr>
          <w:trHeight w:val="609"/>
        </w:trPr>
        <w:tc>
          <w:tcPr>
            <w:tcW w:w="2552" w:type="dxa"/>
            <w:vMerge w:val="restart"/>
            <w:vAlign w:val="center"/>
          </w:tcPr>
          <w:p w:rsidR="004865BC" w:rsidRPr="004E687E" w:rsidRDefault="004865BC" w:rsidP="00A40DC7">
            <w:pPr>
              <w:ind w:right="-41"/>
              <w:jc w:val="center"/>
              <w:rPr>
                <w:rFonts w:ascii="Tahoma" w:hAnsi="Tahoma" w:cs="Tahoma"/>
                <w:b/>
                <w:sz w:val="20"/>
                <w:szCs w:val="20"/>
              </w:rPr>
            </w:pPr>
            <w:r w:rsidRPr="004E687E">
              <w:rPr>
                <w:rFonts w:ascii="Tahoma" w:hAnsi="Tahoma" w:cs="Tahoma"/>
                <w:b/>
                <w:sz w:val="20"/>
                <w:szCs w:val="20"/>
              </w:rPr>
              <w:t>Tekuće pomoći od izvanproračunskih korisnika</w:t>
            </w:r>
          </w:p>
        </w:tc>
        <w:tc>
          <w:tcPr>
            <w:tcW w:w="1838" w:type="dxa"/>
            <w:vAlign w:val="center"/>
          </w:tcPr>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Izvršenje</w:t>
            </w:r>
          </w:p>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2022</w:t>
            </w:r>
          </w:p>
        </w:tc>
        <w:tc>
          <w:tcPr>
            <w:tcW w:w="1984" w:type="dxa"/>
            <w:vAlign w:val="center"/>
          </w:tcPr>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Izvršenje</w:t>
            </w:r>
          </w:p>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2023</w:t>
            </w:r>
          </w:p>
        </w:tc>
        <w:tc>
          <w:tcPr>
            <w:tcW w:w="2552" w:type="dxa"/>
            <w:vAlign w:val="center"/>
          </w:tcPr>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Indeks</w:t>
            </w:r>
          </w:p>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2023/2022</w:t>
            </w:r>
          </w:p>
        </w:tc>
      </w:tr>
      <w:tr w:rsidR="004865BC" w:rsidRPr="004E687E" w:rsidTr="00A40DC7">
        <w:trPr>
          <w:trHeight w:val="447"/>
        </w:trPr>
        <w:tc>
          <w:tcPr>
            <w:tcW w:w="2552" w:type="dxa"/>
            <w:vMerge/>
          </w:tcPr>
          <w:p w:rsidR="004865BC" w:rsidRPr="004E687E" w:rsidRDefault="004865BC" w:rsidP="00A40DC7">
            <w:pPr>
              <w:jc w:val="both"/>
              <w:rPr>
                <w:rFonts w:ascii="Tahoma" w:hAnsi="Tahoma" w:cs="Tahoma"/>
                <w:b/>
                <w:sz w:val="22"/>
                <w:szCs w:val="22"/>
              </w:rPr>
            </w:pPr>
          </w:p>
        </w:tc>
        <w:tc>
          <w:tcPr>
            <w:tcW w:w="1838" w:type="dxa"/>
            <w:vAlign w:val="center"/>
          </w:tcPr>
          <w:p w:rsidR="004865BC" w:rsidRPr="004E687E" w:rsidRDefault="004865BC" w:rsidP="00A40DC7">
            <w:pPr>
              <w:jc w:val="right"/>
              <w:rPr>
                <w:rFonts w:ascii="Tahoma" w:hAnsi="Tahoma" w:cs="Tahoma"/>
                <w:b/>
                <w:sz w:val="22"/>
                <w:szCs w:val="22"/>
              </w:rPr>
            </w:pPr>
            <w:r w:rsidRPr="004E687E">
              <w:rPr>
                <w:rFonts w:ascii="Tahoma" w:hAnsi="Tahoma" w:cs="Tahoma"/>
                <w:b/>
                <w:sz w:val="22"/>
                <w:szCs w:val="22"/>
              </w:rPr>
              <w:t>2.322.426</w:t>
            </w:r>
          </w:p>
        </w:tc>
        <w:tc>
          <w:tcPr>
            <w:tcW w:w="1984" w:type="dxa"/>
            <w:vAlign w:val="center"/>
          </w:tcPr>
          <w:p w:rsidR="004865BC" w:rsidRPr="004E687E" w:rsidRDefault="004865BC" w:rsidP="00A40DC7">
            <w:pPr>
              <w:jc w:val="right"/>
              <w:rPr>
                <w:rFonts w:ascii="Tahoma" w:hAnsi="Tahoma" w:cs="Tahoma"/>
                <w:b/>
                <w:sz w:val="22"/>
                <w:szCs w:val="22"/>
              </w:rPr>
            </w:pPr>
            <w:r w:rsidRPr="004E687E">
              <w:rPr>
                <w:rFonts w:ascii="Tahoma" w:hAnsi="Tahoma" w:cs="Tahoma"/>
                <w:b/>
                <w:sz w:val="22"/>
                <w:szCs w:val="22"/>
              </w:rPr>
              <w:t>32.289.203</w:t>
            </w:r>
          </w:p>
        </w:tc>
        <w:tc>
          <w:tcPr>
            <w:tcW w:w="2552" w:type="dxa"/>
            <w:vAlign w:val="center"/>
          </w:tcPr>
          <w:p w:rsidR="004865BC" w:rsidRPr="004E687E" w:rsidRDefault="004865BC" w:rsidP="00A40DC7">
            <w:pPr>
              <w:jc w:val="right"/>
              <w:rPr>
                <w:rFonts w:ascii="Tahoma" w:hAnsi="Tahoma" w:cs="Tahoma"/>
                <w:b/>
                <w:sz w:val="22"/>
                <w:szCs w:val="22"/>
              </w:rPr>
            </w:pPr>
            <w:r w:rsidRPr="004E687E">
              <w:rPr>
                <w:rFonts w:ascii="Tahoma" w:hAnsi="Tahoma" w:cs="Tahoma"/>
                <w:b/>
                <w:sz w:val="22"/>
                <w:szCs w:val="22"/>
              </w:rPr>
              <w:t>13,90</w:t>
            </w:r>
          </w:p>
        </w:tc>
      </w:tr>
    </w:tbl>
    <w:p w:rsidR="004865BC" w:rsidRPr="004E687E" w:rsidRDefault="004865BC" w:rsidP="004865BC">
      <w:pPr>
        <w:pStyle w:val="ListParagraph"/>
        <w:shd w:val="clear" w:color="auto" w:fill="FFFFFF"/>
        <w:ind w:left="709"/>
        <w:jc w:val="both"/>
        <w:rPr>
          <w:rFonts w:ascii="Tahoma" w:hAnsi="Tahoma" w:cs="Tahoma"/>
          <w:b/>
          <w:sz w:val="22"/>
          <w:szCs w:val="22"/>
        </w:rPr>
      </w:pPr>
    </w:p>
    <w:p w:rsidR="004865BC" w:rsidRPr="004E687E" w:rsidRDefault="004865BC" w:rsidP="004865BC">
      <w:pPr>
        <w:shd w:val="clear" w:color="auto" w:fill="FFFFFF"/>
        <w:jc w:val="both"/>
        <w:rPr>
          <w:rFonts w:ascii="Tahoma" w:hAnsi="Tahoma" w:cs="Tahoma"/>
          <w:b/>
          <w:color w:val="FF0000"/>
          <w:sz w:val="22"/>
          <w:szCs w:val="22"/>
        </w:rPr>
      </w:pPr>
    </w:p>
    <w:p w:rsidR="004865BC" w:rsidRPr="004E687E" w:rsidRDefault="004865BC" w:rsidP="004865BC">
      <w:pPr>
        <w:pStyle w:val="ListParagraph"/>
        <w:numPr>
          <w:ilvl w:val="1"/>
          <w:numId w:val="1"/>
        </w:numPr>
        <w:shd w:val="clear" w:color="auto" w:fill="FFFFFF"/>
        <w:ind w:left="709" w:hanging="709"/>
        <w:jc w:val="both"/>
        <w:rPr>
          <w:rFonts w:ascii="Tahoma" w:hAnsi="Tahoma" w:cs="Tahoma"/>
          <w:b/>
          <w:sz w:val="22"/>
          <w:szCs w:val="22"/>
        </w:rPr>
      </w:pPr>
      <w:r w:rsidRPr="004E687E">
        <w:rPr>
          <w:rFonts w:ascii="Tahoma" w:hAnsi="Tahoma" w:cs="Tahoma"/>
          <w:b/>
          <w:sz w:val="22"/>
          <w:szCs w:val="22"/>
        </w:rPr>
        <w:t>PRIHODI PO POSEBNIM PROPISIMA</w:t>
      </w:r>
    </w:p>
    <w:p w:rsidR="004865BC" w:rsidRPr="004E687E" w:rsidRDefault="004865BC" w:rsidP="004865BC">
      <w:pPr>
        <w:shd w:val="clear" w:color="auto" w:fill="FFFFFF"/>
        <w:jc w:val="both"/>
        <w:rPr>
          <w:rFonts w:ascii="Tahoma" w:hAnsi="Tahoma" w:cs="Tahoma"/>
          <w:sz w:val="22"/>
          <w:szCs w:val="22"/>
        </w:rPr>
      </w:pPr>
    </w:p>
    <w:p w:rsidR="004865BC" w:rsidRPr="001621B4" w:rsidRDefault="004865BC" w:rsidP="004865BC">
      <w:pPr>
        <w:jc w:val="both"/>
        <w:rPr>
          <w:rFonts w:ascii="Tahoma" w:hAnsi="Tahoma" w:cs="Tahoma"/>
          <w:sz w:val="22"/>
          <w:szCs w:val="22"/>
        </w:rPr>
      </w:pPr>
      <w:r w:rsidRPr="004E687E">
        <w:rPr>
          <w:rFonts w:ascii="Tahoma" w:hAnsi="Tahoma" w:cs="Tahoma"/>
          <w:b/>
          <w:sz w:val="22"/>
          <w:szCs w:val="22"/>
          <w:u w:val="single"/>
        </w:rPr>
        <w:t>Prihodi po posebnim propisima (Šifra 652)</w:t>
      </w:r>
      <w:r w:rsidRPr="004E687E">
        <w:rPr>
          <w:rFonts w:ascii="Tahoma" w:hAnsi="Tahoma" w:cs="Tahoma"/>
          <w:sz w:val="22"/>
          <w:szCs w:val="22"/>
        </w:rPr>
        <w:t xml:space="preserve"> u razdoblju siječanj-prosinac 2023. godine iznose 20.017.792 EUR. Povećanje prihoda po posebnim propisima (dopunsko zdravstveno osiguranje i participacije) u razdoblju siječanj-prosinac 2023. godine u odnosu na isto razdoblje prethodne godine iznosi 19% zbog povećanja broja pacijenata</w:t>
      </w:r>
      <w:r w:rsidR="004E687E" w:rsidRPr="004E687E">
        <w:rPr>
          <w:rFonts w:ascii="Tahoma" w:hAnsi="Tahoma" w:cs="Tahoma"/>
          <w:sz w:val="22"/>
          <w:szCs w:val="22"/>
        </w:rPr>
        <w:t xml:space="preserve"> i cijena usluga</w:t>
      </w:r>
      <w:r w:rsidRPr="004E687E">
        <w:rPr>
          <w:rFonts w:ascii="Tahoma" w:hAnsi="Tahoma" w:cs="Tahoma"/>
          <w:sz w:val="22"/>
          <w:szCs w:val="22"/>
        </w:rPr>
        <w:t>.</w:t>
      </w:r>
    </w:p>
    <w:p w:rsidR="004865BC" w:rsidRPr="001621B4" w:rsidRDefault="004865BC" w:rsidP="004865BC">
      <w:pPr>
        <w:jc w:val="both"/>
        <w:rPr>
          <w:rFonts w:ascii="Tahoma" w:hAnsi="Tahoma" w:cs="Tahoma"/>
          <w:sz w:val="22"/>
          <w:szCs w:val="22"/>
        </w:rPr>
      </w:pPr>
    </w:p>
    <w:tbl>
      <w:tblPr>
        <w:tblStyle w:val="TableGrid"/>
        <w:tblW w:w="0" w:type="auto"/>
        <w:tblLook w:val="04A0" w:firstRow="1" w:lastRow="0" w:firstColumn="1" w:lastColumn="0" w:noHBand="0" w:noVBand="1"/>
      </w:tblPr>
      <w:tblGrid>
        <w:gridCol w:w="2552"/>
        <w:gridCol w:w="1838"/>
        <w:gridCol w:w="1984"/>
        <w:gridCol w:w="2552"/>
      </w:tblGrid>
      <w:tr w:rsidR="004865BC" w:rsidRPr="004E687E" w:rsidTr="00A40DC7">
        <w:trPr>
          <w:trHeight w:val="609"/>
        </w:trPr>
        <w:tc>
          <w:tcPr>
            <w:tcW w:w="2552" w:type="dxa"/>
            <w:vMerge w:val="restart"/>
            <w:vAlign w:val="center"/>
          </w:tcPr>
          <w:p w:rsidR="004865BC" w:rsidRPr="004E687E" w:rsidRDefault="004865BC" w:rsidP="00A40DC7">
            <w:pPr>
              <w:ind w:right="-41"/>
              <w:jc w:val="center"/>
              <w:rPr>
                <w:rFonts w:ascii="Tahoma" w:hAnsi="Tahoma" w:cs="Tahoma"/>
                <w:b/>
                <w:sz w:val="20"/>
                <w:szCs w:val="20"/>
              </w:rPr>
            </w:pPr>
            <w:bookmarkStart w:id="0" w:name="_Hlk94277652"/>
            <w:r w:rsidRPr="004E687E">
              <w:rPr>
                <w:rFonts w:ascii="Tahoma" w:hAnsi="Tahoma" w:cs="Tahoma"/>
                <w:b/>
                <w:sz w:val="20"/>
                <w:szCs w:val="20"/>
              </w:rPr>
              <w:t>Prihodi po posebnim propisima</w:t>
            </w:r>
          </w:p>
        </w:tc>
        <w:tc>
          <w:tcPr>
            <w:tcW w:w="1838" w:type="dxa"/>
            <w:vAlign w:val="center"/>
          </w:tcPr>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Izvršenje</w:t>
            </w:r>
          </w:p>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2022</w:t>
            </w:r>
          </w:p>
        </w:tc>
        <w:tc>
          <w:tcPr>
            <w:tcW w:w="1984" w:type="dxa"/>
            <w:vAlign w:val="center"/>
          </w:tcPr>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Izvršenje</w:t>
            </w:r>
          </w:p>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2023</w:t>
            </w:r>
          </w:p>
        </w:tc>
        <w:tc>
          <w:tcPr>
            <w:tcW w:w="2552" w:type="dxa"/>
            <w:vAlign w:val="center"/>
          </w:tcPr>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Indeks</w:t>
            </w:r>
          </w:p>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2023/2022</w:t>
            </w:r>
          </w:p>
        </w:tc>
      </w:tr>
      <w:tr w:rsidR="004865BC" w:rsidRPr="004E687E" w:rsidTr="00A40DC7">
        <w:trPr>
          <w:trHeight w:val="447"/>
        </w:trPr>
        <w:tc>
          <w:tcPr>
            <w:tcW w:w="2552" w:type="dxa"/>
            <w:vMerge/>
          </w:tcPr>
          <w:p w:rsidR="004865BC" w:rsidRPr="004E687E" w:rsidRDefault="004865BC" w:rsidP="00A40DC7">
            <w:pPr>
              <w:jc w:val="both"/>
              <w:rPr>
                <w:rFonts w:ascii="Tahoma" w:hAnsi="Tahoma" w:cs="Tahoma"/>
                <w:b/>
                <w:sz w:val="22"/>
                <w:szCs w:val="22"/>
              </w:rPr>
            </w:pPr>
          </w:p>
        </w:tc>
        <w:tc>
          <w:tcPr>
            <w:tcW w:w="1838" w:type="dxa"/>
            <w:vAlign w:val="center"/>
          </w:tcPr>
          <w:p w:rsidR="004865BC" w:rsidRPr="004E687E" w:rsidRDefault="004865BC" w:rsidP="00A40DC7">
            <w:pPr>
              <w:jc w:val="right"/>
              <w:rPr>
                <w:rFonts w:ascii="Tahoma" w:hAnsi="Tahoma" w:cs="Tahoma"/>
                <w:b/>
                <w:sz w:val="22"/>
                <w:szCs w:val="22"/>
              </w:rPr>
            </w:pPr>
            <w:r w:rsidRPr="004E687E">
              <w:rPr>
                <w:rFonts w:ascii="Tahoma" w:hAnsi="Tahoma" w:cs="Tahoma"/>
                <w:b/>
                <w:sz w:val="22"/>
                <w:szCs w:val="22"/>
              </w:rPr>
              <w:t>16.785.610</w:t>
            </w:r>
          </w:p>
        </w:tc>
        <w:tc>
          <w:tcPr>
            <w:tcW w:w="1984" w:type="dxa"/>
            <w:vAlign w:val="center"/>
          </w:tcPr>
          <w:p w:rsidR="004865BC" w:rsidRPr="004E687E" w:rsidRDefault="004865BC" w:rsidP="00A40DC7">
            <w:pPr>
              <w:jc w:val="right"/>
              <w:rPr>
                <w:rFonts w:ascii="Tahoma" w:hAnsi="Tahoma" w:cs="Tahoma"/>
                <w:b/>
                <w:sz w:val="22"/>
                <w:szCs w:val="22"/>
              </w:rPr>
            </w:pPr>
            <w:r w:rsidRPr="004E687E">
              <w:rPr>
                <w:rFonts w:ascii="Tahoma" w:hAnsi="Tahoma" w:cs="Tahoma"/>
                <w:b/>
                <w:sz w:val="22"/>
                <w:szCs w:val="22"/>
              </w:rPr>
              <w:t>20.017.792</w:t>
            </w:r>
          </w:p>
        </w:tc>
        <w:tc>
          <w:tcPr>
            <w:tcW w:w="2552" w:type="dxa"/>
            <w:vAlign w:val="center"/>
          </w:tcPr>
          <w:p w:rsidR="004865BC" w:rsidRPr="004E687E" w:rsidRDefault="004865BC" w:rsidP="00A40DC7">
            <w:pPr>
              <w:jc w:val="right"/>
              <w:rPr>
                <w:rFonts w:ascii="Tahoma" w:hAnsi="Tahoma" w:cs="Tahoma"/>
                <w:b/>
                <w:sz w:val="22"/>
                <w:szCs w:val="22"/>
              </w:rPr>
            </w:pPr>
            <w:r w:rsidRPr="004E687E">
              <w:rPr>
                <w:rFonts w:ascii="Tahoma" w:hAnsi="Tahoma" w:cs="Tahoma"/>
                <w:b/>
                <w:sz w:val="22"/>
                <w:szCs w:val="22"/>
              </w:rPr>
              <w:t>1,19</w:t>
            </w:r>
          </w:p>
        </w:tc>
      </w:tr>
      <w:bookmarkEnd w:id="0"/>
    </w:tbl>
    <w:p w:rsidR="009077EB" w:rsidRPr="009077EB" w:rsidRDefault="009077EB" w:rsidP="009077EB">
      <w:pPr>
        <w:jc w:val="both"/>
        <w:rPr>
          <w:rFonts w:ascii="Tahoma" w:hAnsi="Tahoma" w:cs="Tahoma"/>
          <w:b/>
          <w:sz w:val="22"/>
          <w:szCs w:val="22"/>
        </w:rPr>
      </w:pPr>
    </w:p>
    <w:p w:rsidR="009077EB" w:rsidRDefault="009077EB" w:rsidP="009077EB">
      <w:pPr>
        <w:pStyle w:val="ListParagraph"/>
        <w:ind w:left="709"/>
        <w:jc w:val="both"/>
        <w:rPr>
          <w:rFonts w:ascii="Tahoma" w:hAnsi="Tahoma" w:cs="Tahoma"/>
          <w:b/>
          <w:sz w:val="22"/>
          <w:szCs w:val="22"/>
        </w:rPr>
      </w:pPr>
    </w:p>
    <w:p w:rsidR="004865BC" w:rsidRPr="004E687E" w:rsidRDefault="004865BC" w:rsidP="004865BC">
      <w:pPr>
        <w:pStyle w:val="ListParagraph"/>
        <w:numPr>
          <w:ilvl w:val="1"/>
          <w:numId w:val="1"/>
        </w:numPr>
        <w:ind w:left="709" w:hanging="709"/>
        <w:jc w:val="both"/>
        <w:rPr>
          <w:rFonts w:ascii="Tahoma" w:hAnsi="Tahoma" w:cs="Tahoma"/>
          <w:b/>
          <w:sz w:val="22"/>
          <w:szCs w:val="22"/>
        </w:rPr>
      </w:pPr>
      <w:r w:rsidRPr="004E687E">
        <w:rPr>
          <w:rFonts w:ascii="Tahoma" w:hAnsi="Tahoma" w:cs="Tahoma"/>
          <w:b/>
          <w:sz w:val="22"/>
          <w:szCs w:val="22"/>
        </w:rPr>
        <w:t>PRIHODI OD PRODAJE PROIZVODA I ROBE TE PRUŽENIH USLUGA I PRIHODI OD DONACIJA</w:t>
      </w:r>
    </w:p>
    <w:p w:rsidR="004865BC" w:rsidRPr="004E687E" w:rsidRDefault="004865BC" w:rsidP="004865BC">
      <w:pPr>
        <w:jc w:val="both"/>
        <w:rPr>
          <w:rFonts w:ascii="Tahoma" w:hAnsi="Tahoma" w:cs="Tahoma"/>
          <w:b/>
          <w:sz w:val="22"/>
          <w:szCs w:val="22"/>
        </w:rPr>
      </w:pPr>
    </w:p>
    <w:p w:rsidR="004865BC" w:rsidRPr="004E687E" w:rsidRDefault="004865BC" w:rsidP="004865BC">
      <w:pPr>
        <w:jc w:val="both"/>
        <w:rPr>
          <w:rFonts w:ascii="Tahoma" w:hAnsi="Tahoma" w:cs="Tahoma"/>
          <w:sz w:val="22"/>
          <w:szCs w:val="22"/>
        </w:rPr>
      </w:pPr>
      <w:r w:rsidRPr="004E687E">
        <w:rPr>
          <w:rFonts w:ascii="Tahoma" w:hAnsi="Tahoma" w:cs="Tahoma"/>
          <w:b/>
          <w:sz w:val="22"/>
          <w:szCs w:val="22"/>
          <w:u w:val="single"/>
        </w:rPr>
        <w:t xml:space="preserve">Prihodi od prodaje proizvoda i robe te pruženih usluga i prihodi od donacija (Šifra 66) </w:t>
      </w:r>
      <w:r w:rsidRPr="004E687E">
        <w:rPr>
          <w:rFonts w:ascii="Tahoma" w:hAnsi="Tahoma" w:cs="Tahoma"/>
          <w:sz w:val="22"/>
          <w:szCs w:val="22"/>
        </w:rPr>
        <w:t>u razdoblju siječanj-prosinac 2023. godine iznose 26.985.674 EUR. Povećanje prihoda od prodaje proizvoda i robe te pruženih usluga i prihodi od donacija u razdoblju siječanj-prosinac 2023. godine u odnosu na isto razdoblje prethodne godine iznosi 26,6%, a rezultat je više ostvarenih prihoda od  pruženih zdravstvenih usluga te primljenih tekućih donacija od pravnih i fizičkih osoba.</w:t>
      </w:r>
    </w:p>
    <w:p w:rsidR="004865BC" w:rsidRPr="004E687E" w:rsidRDefault="004865BC" w:rsidP="004865BC">
      <w:pPr>
        <w:jc w:val="both"/>
        <w:rPr>
          <w:rFonts w:ascii="Tahoma" w:hAnsi="Tahoma" w:cs="Tahoma"/>
          <w:sz w:val="22"/>
          <w:szCs w:val="22"/>
        </w:rPr>
      </w:pPr>
    </w:p>
    <w:tbl>
      <w:tblPr>
        <w:tblStyle w:val="TableGrid"/>
        <w:tblW w:w="0" w:type="auto"/>
        <w:tblLook w:val="04A0" w:firstRow="1" w:lastRow="0" w:firstColumn="1" w:lastColumn="0" w:noHBand="0" w:noVBand="1"/>
      </w:tblPr>
      <w:tblGrid>
        <w:gridCol w:w="2552"/>
        <w:gridCol w:w="1838"/>
        <w:gridCol w:w="1984"/>
        <w:gridCol w:w="2552"/>
      </w:tblGrid>
      <w:tr w:rsidR="004865BC" w:rsidRPr="004E687E" w:rsidTr="00A40DC7">
        <w:trPr>
          <w:trHeight w:val="609"/>
        </w:trPr>
        <w:tc>
          <w:tcPr>
            <w:tcW w:w="2552" w:type="dxa"/>
            <w:vMerge w:val="restart"/>
            <w:vAlign w:val="center"/>
          </w:tcPr>
          <w:p w:rsidR="004865BC" w:rsidRPr="004E687E" w:rsidRDefault="004865BC" w:rsidP="00A40DC7">
            <w:pPr>
              <w:ind w:right="-41"/>
              <w:jc w:val="center"/>
              <w:rPr>
                <w:rFonts w:ascii="Tahoma" w:hAnsi="Tahoma" w:cs="Tahoma"/>
                <w:b/>
                <w:sz w:val="20"/>
                <w:szCs w:val="20"/>
              </w:rPr>
            </w:pPr>
            <w:r w:rsidRPr="004E687E">
              <w:rPr>
                <w:rFonts w:ascii="Tahoma" w:hAnsi="Tahoma" w:cs="Tahoma"/>
                <w:b/>
                <w:sz w:val="20"/>
                <w:szCs w:val="20"/>
              </w:rPr>
              <w:lastRenderedPageBreak/>
              <w:t>Prihodi od prodaje proizvoda i robe te pruženih usluga i prihodi od donacija</w:t>
            </w:r>
          </w:p>
        </w:tc>
        <w:tc>
          <w:tcPr>
            <w:tcW w:w="1838" w:type="dxa"/>
            <w:vAlign w:val="center"/>
          </w:tcPr>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Izvršenje</w:t>
            </w:r>
          </w:p>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2022</w:t>
            </w:r>
          </w:p>
        </w:tc>
        <w:tc>
          <w:tcPr>
            <w:tcW w:w="1984" w:type="dxa"/>
            <w:vAlign w:val="center"/>
          </w:tcPr>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Izvršenje</w:t>
            </w:r>
          </w:p>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2023</w:t>
            </w:r>
          </w:p>
        </w:tc>
        <w:tc>
          <w:tcPr>
            <w:tcW w:w="2552" w:type="dxa"/>
            <w:vAlign w:val="center"/>
          </w:tcPr>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Indeks</w:t>
            </w:r>
          </w:p>
          <w:p w:rsidR="004865BC" w:rsidRPr="004E687E" w:rsidRDefault="004865BC" w:rsidP="00A40DC7">
            <w:pPr>
              <w:jc w:val="center"/>
              <w:rPr>
                <w:rFonts w:ascii="Tahoma" w:hAnsi="Tahoma" w:cs="Tahoma"/>
                <w:b/>
                <w:sz w:val="22"/>
                <w:szCs w:val="22"/>
              </w:rPr>
            </w:pPr>
            <w:r w:rsidRPr="004E687E">
              <w:rPr>
                <w:rFonts w:ascii="Tahoma" w:hAnsi="Tahoma" w:cs="Tahoma"/>
                <w:b/>
                <w:sz w:val="22"/>
                <w:szCs w:val="22"/>
              </w:rPr>
              <w:t>2023/2022</w:t>
            </w:r>
          </w:p>
        </w:tc>
      </w:tr>
      <w:tr w:rsidR="004865BC" w:rsidRPr="001C0992" w:rsidTr="00A40DC7">
        <w:trPr>
          <w:trHeight w:val="447"/>
        </w:trPr>
        <w:tc>
          <w:tcPr>
            <w:tcW w:w="2552" w:type="dxa"/>
            <w:vMerge/>
          </w:tcPr>
          <w:p w:rsidR="004865BC" w:rsidRPr="004E687E" w:rsidRDefault="004865BC" w:rsidP="00A40DC7">
            <w:pPr>
              <w:jc w:val="both"/>
              <w:rPr>
                <w:rFonts w:ascii="Tahoma" w:hAnsi="Tahoma" w:cs="Tahoma"/>
                <w:b/>
                <w:sz w:val="22"/>
                <w:szCs w:val="22"/>
              </w:rPr>
            </w:pPr>
          </w:p>
        </w:tc>
        <w:tc>
          <w:tcPr>
            <w:tcW w:w="1838" w:type="dxa"/>
            <w:vAlign w:val="center"/>
          </w:tcPr>
          <w:p w:rsidR="004865BC" w:rsidRPr="004E687E" w:rsidRDefault="004865BC" w:rsidP="00A40DC7">
            <w:pPr>
              <w:jc w:val="right"/>
              <w:rPr>
                <w:rFonts w:ascii="Tahoma" w:hAnsi="Tahoma" w:cs="Tahoma"/>
                <w:b/>
                <w:sz w:val="22"/>
                <w:szCs w:val="22"/>
              </w:rPr>
            </w:pPr>
            <w:r w:rsidRPr="004E687E">
              <w:rPr>
                <w:rFonts w:ascii="Tahoma" w:hAnsi="Tahoma" w:cs="Tahoma"/>
                <w:b/>
                <w:sz w:val="22"/>
                <w:szCs w:val="22"/>
              </w:rPr>
              <w:t>21.308.055</w:t>
            </w:r>
          </w:p>
        </w:tc>
        <w:tc>
          <w:tcPr>
            <w:tcW w:w="1984" w:type="dxa"/>
            <w:vAlign w:val="center"/>
          </w:tcPr>
          <w:p w:rsidR="004865BC" w:rsidRPr="004E687E" w:rsidRDefault="004865BC" w:rsidP="00A40DC7">
            <w:pPr>
              <w:jc w:val="right"/>
              <w:rPr>
                <w:rFonts w:ascii="Tahoma" w:hAnsi="Tahoma" w:cs="Tahoma"/>
                <w:b/>
                <w:sz w:val="22"/>
                <w:szCs w:val="22"/>
              </w:rPr>
            </w:pPr>
            <w:r w:rsidRPr="004E687E">
              <w:rPr>
                <w:rFonts w:ascii="Tahoma" w:hAnsi="Tahoma" w:cs="Tahoma"/>
                <w:b/>
                <w:sz w:val="22"/>
                <w:szCs w:val="22"/>
              </w:rPr>
              <w:t>26.985.674</w:t>
            </w:r>
          </w:p>
        </w:tc>
        <w:tc>
          <w:tcPr>
            <w:tcW w:w="2552" w:type="dxa"/>
            <w:vAlign w:val="center"/>
          </w:tcPr>
          <w:p w:rsidR="004865BC" w:rsidRPr="004E687E" w:rsidRDefault="004865BC" w:rsidP="00A40DC7">
            <w:pPr>
              <w:jc w:val="right"/>
              <w:rPr>
                <w:rFonts w:ascii="Tahoma" w:hAnsi="Tahoma" w:cs="Tahoma"/>
                <w:b/>
                <w:sz w:val="22"/>
                <w:szCs w:val="22"/>
              </w:rPr>
            </w:pPr>
            <w:r w:rsidRPr="004E687E">
              <w:rPr>
                <w:rFonts w:ascii="Tahoma" w:hAnsi="Tahoma" w:cs="Tahoma"/>
                <w:b/>
                <w:sz w:val="22"/>
                <w:szCs w:val="22"/>
              </w:rPr>
              <w:t>1,27</w:t>
            </w:r>
          </w:p>
        </w:tc>
      </w:tr>
    </w:tbl>
    <w:p w:rsidR="004865BC" w:rsidRDefault="004865BC" w:rsidP="004865BC">
      <w:pPr>
        <w:jc w:val="both"/>
        <w:rPr>
          <w:rFonts w:ascii="Tahoma" w:hAnsi="Tahoma" w:cs="Tahoma"/>
          <w:sz w:val="22"/>
          <w:szCs w:val="22"/>
        </w:rPr>
      </w:pPr>
    </w:p>
    <w:p w:rsidR="004865BC" w:rsidRDefault="004865BC" w:rsidP="004865BC">
      <w:pPr>
        <w:jc w:val="both"/>
        <w:rPr>
          <w:rFonts w:ascii="Tahoma" w:hAnsi="Tahoma" w:cs="Tahoma"/>
          <w:sz w:val="22"/>
          <w:szCs w:val="22"/>
        </w:rPr>
      </w:pPr>
    </w:p>
    <w:p w:rsidR="004865BC" w:rsidRPr="0002375D" w:rsidRDefault="004865BC" w:rsidP="004865BC">
      <w:pPr>
        <w:pStyle w:val="ListParagraph"/>
        <w:numPr>
          <w:ilvl w:val="2"/>
          <w:numId w:val="1"/>
        </w:numPr>
        <w:ind w:left="709" w:hanging="709"/>
        <w:jc w:val="both"/>
        <w:rPr>
          <w:rFonts w:ascii="Tahoma" w:hAnsi="Tahoma" w:cs="Tahoma"/>
          <w:b/>
          <w:sz w:val="22"/>
          <w:szCs w:val="22"/>
        </w:rPr>
      </w:pPr>
      <w:r w:rsidRPr="0002375D">
        <w:rPr>
          <w:rFonts w:ascii="Tahoma" w:hAnsi="Tahoma" w:cs="Tahoma"/>
          <w:b/>
          <w:sz w:val="22"/>
          <w:szCs w:val="22"/>
        </w:rPr>
        <w:t>PRIHODI OD PRODAJE PROIZVODA</w:t>
      </w:r>
      <w:r>
        <w:rPr>
          <w:rFonts w:ascii="Tahoma" w:hAnsi="Tahoma" w:cs="Tahoma"/>
          <w:b/>
          <w:sz w:val="22"/>
          <w:szCs w:val="22"/>
        </w:rPr>
        <w:t xml:space="preserve"> I ROBE</w:t>
      </w:r>
      <w:r w:rsidRPr="0002375D">
        <w:rPr>
          <w:rFonts w:ascii="Tahoma" w:hAnsi="Tahoma" w:cs="Tahoma"/>
          <w:b/>
          <w:sz w:val="22"/>
          <w:szCs w:val="22"/>
        </w:rPr>
        <w:t xml:space="preserve"> TE PRUŽENIH USLUGA</w:t>
      </w:r>
    </w:p>
    <w:p w:rsidR="004865BC" w:rsidRPr="001621B4" w:rsidRDefault="004865BC" w:rsidP="004865BC">
      <w:pPr>
        <w:jc w:val="both"/>
        <w:rPr>
          <w:rFonts w:ascii="Tahoma" w:hAnsi="Tahoma" w:cs="Tahoma"/>
          <w:b/>
          <w:sz w:val="22"/>
          <w:szCs w:val="22"/>
        </w:rPr>
      </w:pPr>
    </w:p>
    <w:p w:rsidR="004865BC" w:rsidRPr="002A66DF" w:rsidRDefault="004865BC" w:rsidP="004865BC">
      <w:pPr>
        <w:jc w:val="both"/>
        <w:rPr>
          <w:rFonts w:ascii="Tahoma" w:hAnsi="Tahoma" w:cs="Tahoma"/>
          <w:sz w:val="22"/>
          <w:szCs w:val="22"/>
        </w:rPr>
      </w:pPr>
      <w:r w:rsidRPr="002A66DF">
        <w:rPr>
          <w:rFonts w:ascii="Tahoma" w:hAnsi="Tahoma" w:cs="Tahoma"/>
          <w:b/>
          <w:sz w:val="22"/>
          <w:szCs w:val="22"/>
          <w:u w:val="single"/>
        </w:rPr>
        <w:t>Prihodi od prodaje proizvoda i robe te pruženih usluga (Šifra 661)</w:t>
      </w:r>
      <w:r w:rsidRPr="002A66DF">
        <w:rPr>
          <w:rFonts w:ascii="Tahoma" w:hAnsi="Tahoma" w:cs="Tahoma"/>
          <w:sz w:val="22"/>
          <w:szCs w:val="22"/>
        </w:rPr>
        <w:t xml:space="preserve"> (</w:t>
      </w:r>
      <w:proofErr w:type="spellStart"/>
      <w:r w:rsidRPr="002A66DF">
        <w:rPr>
          <w:rFonts w:ascii="Tahoma" w:hAnsi="Tahoma" w:cs="Tahoma"/>
          <w:sz w:val="22"/>
          <w:szCs w:val="22"/>
        </w:rPr>
        <w:t>suradne</w:t>
      </w:r>
      <w:proofErr w:type="spellEnd"/>
      <w:r w:rsidRPr="002A66DF">
        <w:rPr>
          <w:rFonts w:ascii="Tahoma" w:hAnsi="Tahoma" w:cs="Tahoma"/>
          <w:sz w:val="22"/>
          <w:szCs w:val="22"/>
        </w:rPr>
        <w:t xml:space="preserve"> zdravstvene ustanove, klinička ispitivanja, zakupi, tečajevi i dr.) u razdoblju siječanj-prosinac 2023. godine iznose 14.002.778 EUR. Povećanje prihoda od prodaje proizvoda i robe te pruženih usluga u razdoblju siječanj-prosinac 2023. godine u odnosu na isto razdoblje prethodne godine iznosi 24%, a rezultat je više ostvarenih prihoda za zdravstvene usluge od fizičkih i pravnih osoba te </w:t>
      </w:r>
      <w:proofErr w:type="spellStart"/>
      <w:r w:rsidRPr="002A66DF">
        <w:rPr>
          <w:rFonts w:ascii="Tahoma" w:hAnsi="Tahoma" w:cs="Tahoma"/>
          <w:sz w:val="22"/>
          <w:szCs w:val="22"/>
        </w:rPr>
        <w:t>suradnih</w:t>
      </w:r>
      <w:proofErr w:type="spellEnd"/>
      <w:r w:rsidRPr="002A66DF">
        <w:rPr>
          <w:rFonts w:ascii="Tahoma" w:hAnsi="Tahoma" w:cs="Tahoma"/>
          <w:sz w:val="22"/>
          <w:szCs w:val="22"/>
        </w:rPr>
        <w:t xml:space="preserve"> zdravstvenih ustanova.</w:t>
      </w:r>
    </w:p>
    <w:p w:rsidR="004865BC" w:rsidRPr="002A66DF" w:rsidRDefault="004865BC" w:rsidP="004865BC">
      <w:pPr>
        <w:jc w:val="both"/>
        <w:rPr>
          <w:rFonts w:ascii="Tahoma" w:hAnsi="Tahoma" w:cs="Tahoma"/>
          <w:sz w:val="22"/>
          <w:szCs w:val="22"/>
        </w:rPr>
      </w:pPr>
    </w:p>
    <w:tbl>
      <w:tblPr>
        <w:tblStyle w:val="TableGrid"/>
        <w:tblW w:w="0" w:type="auto"/>
        <w:tblLook w:val="04A0" w:firstRow="1" w:lastRow="0" w:firstColumn="1" w:lastColumn="0" w:noHBand="0" w:noVBand="1"/>
      </w:tblPr>
      <w:tblGrid>
        <w:gridCol w:w="2552"/>
        <w:gridCol w:w="1838"/>
        <w:gridCol w:w="1984"/>
        <w:gridCol w:w="2552"/>
      </w:tblGrid>
      <w:tr w:rsidR="004865BC" w:rsidRPr="002A66DF" w:rsidTr="00A40DC7">
        <w:trPr>
          <w:trHeight w:val="609"/>
        </w:trPr>
        <w:tc>
          <w:tcPr>
            <w:tcW w:w="2552" w:type="dxa"/>
            <w:vMerge w:val="restart"/>
            <w:vAlign w:val="center"/>
          </w:tcPr>
          <w:p w:rsidR="004865BC" w:rsidRPr="002A66DF" w:rsidRDefault="004865BC" w:rsidP="00A40DC7">
            <w:pPr>
              <w:ind w:right="-41"/>
              <w:jc w:val="center"/>
              <w:rPr>
                <w:rFonts w:ascii="Tahoma" w:hAnsi="Tahoma" w:cs="Tahoma"/>
                <w:b/>
                <w:sz w:val="20"/>
                <w:szCs w:val="20"/>
              </w:rPr>
            </w:pPr>
            <w:r w:rsidRPr="002A66DF">
              <w:rPr>
                <w:rFonts w:ascii="Tahoma" w:hAnsi="Tahoma" w:cs="Tahoma"/>
                <w:b/>
                <w:sz w:val="20"/>
                <w:szCs w:val="20"/>
              </w:rPr>
              <w:t xml:space="preserve">Prihodi od prodaje proizvoda i robe te pruženih usluga </w:t>
            </w:r>
          </w:p>
        </w:tc>
        <w:tc>
          <w:tcPr>
            <w:tcW w:w="1838" w:type="dxa"/>
            <w:vAlign w:val="center"/>
          </w:tcPr>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Izvršenje</w:t>
            </w:r>
          </w:p>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2022</w:t>
            </w:r>
          </w:p>
        </w:tc>
        <w:tc>
          <w:tcPr>
            <w:tcW w:w="1984" w:type="dxa"/>
            <w:vAlign w:val="center"/>
          </w:tcPr>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Izvršenje</w:t>
            </w:r>
          </w:p>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2023</w:t>
            </w:r>
          </w:p>
        </w:tc>
        <w:tc>
          <w:tcPr>
            <w:tcW w:w="2552" w:type="dxa"/>
            <w:vAlign w:val="center"/>
          </w:tcPr>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Indeks</w:t>
            </w:r>
          </w:p>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2023/2022</w:t>
            </w:r>
          </w:p>
        </w:tc>
      </w:tr>
      <w:tr w:rsidR="004865BC" w:rsidRPr="002A66DF" w:rsidTr="00A40DC7">
        <w:trPr>
          <w:trHeight w:val="447"/>
        </w:trPr>
        <w:tc>
          <w:tcPr>
            <w:tcW w:w="2552" w:type="dxa"/>
            <w:vMerge/>
          </w:tcPr>
          <w:p w:rsidR="004865BC" w:rsidRPr="002A66DF" w:rsidRDefault="004865BC" w:rsidP="00A40DC7">
            <w:pPr>
              <w:jc w:val="both"/>
              <w:rPr>
                <w:rFonts w:ascii="Tahoma" w:hAnsi="Tahoma" w:cs="Tahoma"/>
                <w:b/>
                <w:sz w:val="22"/>
                <w:szCs w:val="22"/>
              </w:rPr>
            </w:pPr>
          </w:p>
        </w:tc>
        <w:tc>
          <w:tcPr>
            <w:tcW w:w="1838" w:type="dxa"/>
            <w:vAlign w:val="center"/>
          </w:tcPr>
          <w:p w:rsidR="004865BC" w:rsidRPr="002A66DF" w:rsidRDefault="004865BC" w:rsidP="00A40DC7">
            <w:pPr>
              <w:jc w:val="right"/>
              <w:rPr>
                <w:rFonts w:ascii="Tahoma" w:hAnsi="Tahoma" w:cs="Tahoma"/>
                <w:b/>
                <w:sz w:val="22"/>
                <w:szCs w:val="22"/>
              </w:rPr>
            </w:pPr>
            <w:r w:rsidRPr="002A66DF">
              <w:rPr>
                <w:rFonts w:ascii="Tahoma" w:hAnsi="Tahoma" w:cs="Tahoma"/>
                <w:b/>
                <w:sz w:val="22"/>
                <w:szCs w:val="22"/>
              </w:rPr>
              <w:t>11.296.538</w:t>
            </w:r>
          </w:p>
        </w:tc>
        <w:tc>
          <w:tcPr>
            <w:tcW w:w="1984" w:type="dxa"/>
            <w:vAlign w:val="center"/>
          </w:tcPr>
          <w:p w:rsidR="004865BC" w:rsidRPr="002A66DF" w:rsidRDefault="004865BC" w:rsidP="00A40DC7">
            <w:pPr>
              <w:jc w:val="right"/>
              <w:rPr>
                <w:rFonts w:ascii="Tahoma" w:hAnsi="Tahoma" w:cs="Tahoma"/>
                <w:b/>
                <w:sz w:val="22"/>
                <w:szCs w:val="22"/>
              </w:rPr>
            </w:pPr>
            <w:r w:rsidRPr="002A66DF">
              <w:rPr>
                <w:rFonts w:ascii="Tahoma" w:hAnsi="Tahoma" w:cs="Tahoma"/>
                <w:b/>
                <w:sz w:val="22"/>
                <w:szCs w:val="22"/>
              </w:rPr>
              <w:t>14.002.778</w:t>
            </w:r>
          </w:p>
        </w:tc>
        <w:tc>
          <w:tcPr>
            <w:tcW w:w="2552" w:type="dxa"/>
            <w:vAlign w:val="center"/>
          </w:tcPr>
          <w:p w:rsidR="004865BC" w:rsidRPr="002A66DF" w:rsidRDefault="004865BC" w:rsidP="00A40DC7">
            <w:pPr>
              <w:jc w:val="right"/>
              <w:rPr>
                <w:rFonts w:ascii="Tahoma" w:hAnsi="Tahoma" w:cs="Tahoma"/>
                <w:b/>
                <w:sz w:val="22"/>
                <w:szCs w:val="22"/>
              </w:rPr>
            </w:pPr>
            <w:r w:rsidRPr="002A66DF">
              <w:rPr>
                <w:rFonts w:ascii="Tahoma" w:hAnsi="Tahoma" w:cs="Tahoma"/>
                <w:b/>
                <w:sz w:val="22"/>
                <w:szCs w:val="22"/>
              </w:rPr>
              <w:t>1,24</w:t>
            </w:r>
          </w:p>
        </w:tc>
      </w:tr>
    </w:tbl>
    <w:p w:rsidR="004865BC" w:rsidRDefault="004865BC" w:rsidP="004865BC">
      <w:pPr>
        <w:jc w:val="both"/>
        <w:rPr>
          <w:rFonts w:ascii="Tahoma" w:hAnsi="Tahoma" w:cs="Tahoma"/>
          <w:sz w:val="22"/>
          <w:szCs w:val="22"/>
        </w:rPr>
      </w:pPr>
    </w:p>
    <w:p w:rsidR="00E36445" w:rsidRPr="002A66DF" w:rsidRDefault="00E36445" w:rsidP="004865BC">
      <w:pPr>
        <w:jc w:val="both"/>
        <w:rPr>
          <w:rFonts w:ascii="Tahoma" w:hAnsi="Tahoma" w:cs="Tahoma"/>
          <w:sz w:val="22"/>
          <w:szCs w:val="22"/>
        </w:rPr>
      </w:pPr>
    </w:p>
    <w:p w:rsidR="004865BC" w:rsidRPr="002A66DF" w:rsidRDefault="004865BC" w:rsidP="004865BC">
      <w:pPr>
        <w:pStyle w:val="ListParagraph"/>
        <w:numPr>
          <w:ilvl w:val="2"/>
          <w:numId w:val="1"/>
        </w:numPr>
        <w:ind w:left="993" w:hanging="993"/>
        <w:jc w:val="both"/>
        <w:rPr>
          <w:rFonts w:ascii="Tahoma" w:hAnsi="Tahoma" w:cs="Tahoma"/>
          <w:b/>
          <w:sz w:val="22"/>
          <w:szCs w:val="22"/>
        </w:rPr>
      </w:pPr>
      <w:r w:rsidRPr="002A66DF">
        <w:rPr>
          <w:rFonts w:ascii="Tahoma" w:hAnsi="Tahoma" w:cs="Tahoma"/>
          <w:b/>
          <w:sz w:val="22"/>
          <w:szCs w:val="22"/>
        </w:rPr>
        <w:t>DONACIJE OD PRAVNIH I FIZIČKIH OSOBA IZVAN OPĆEG PRORAČUNA</w:t>
      </w:r>
    </w:p>
    <w:p w:rsidR="004865BC" w:rsidRPr="002A66DF" w:rsidRDefault="004865BC" w:rsidP="004865BC">
      <w:pPr>
        <w:jc w:val="both"/>
        <w:rPr>
          <w:rFonts w:ascii="Tahoma" w:hAnsi="Tahoma" w:cs="Tahoma"/>
          <w:sz w:val="22"/>
          <w:szCs w:val="22"/>
        </w:rPr>
      </w:pPr>
    </w:p>
    <w:p w:rsidR="004865BC" w:rsidRPr="002A66DF" w:rsidRDefault="004865BC" w:rsidP="004865BC">
      <w:pPr>
        <w:jc w:val="both"/>
        <w:rPr>
          <w:rFonts w:ascii="Tahoma" w:hAnsi="Tahoma" w:cs="Tahoma"/>
          <w:sz w:val="22"/>
          <w:szCs w:val="22"/>
        </w:rPr>
      </w:pPr>
      <w:r w:rsidRPr="002A66DF">
        <w:rPr>
          <w:rFonts w:ascii="Tahoma" w:hAnsi="Tahoma" w:cs="Tahoma"/>
          <w:b/>
          <w:sz w:val="22"/>
          <w:szCs w:val="22"/>
          <w:u w:val="single"/>
        </w:rPr>
        <w:t>Prihodi od donacija od pravnih i fizičkih osoba izvan općeg proračuna (Šifra 663)</w:t>
      </w:r>
      <w:r w:rsidRPr="002A66DF">
        <w:rPr>
          <w:rFonts w:ascii="Tahoma" w:hAnsi="Tahoma" w:cs="Tahoma"/>
          <w:sz w:val="22"/>
          <w:szCs w:val="22"/>
        </w:rPr>
        <w:t xml:space="preserve"> (lijekovi, medicinska i nemedicinska oprema te financijske donacije) prema proračunskom računovodstvu u razdoblju siječanj-prosinac 2023. godine ostvareni su u iznosu od 12.982.896 EUR što je za 29,7% više u odnosu na isto razdoblje 2022. godine. U razdoblju siječanj-prosinac 2023. godine primljene su donacije lijekova i medicinskog potrošnog materijala od trgovačkih društava u iznosu od 8.512.931 EUR (</w:t>
      </w:r>
      <w:proofErr w:type="spellStart"/>
      <w:r w:rsidR="00A40DC7" w:rsidRPr="002A66DF">
        <w:rPr>
          <w:rFonts w:ascii="Tahoma" w:hAnsi="Tahoma" w:cs="Tahoma"/>
          <w:sz w:val="22"/>
          <w:szCs w:val="22"/>
        </w:rPr>
        <w:t>Cablivi</w:t>
      </w:r>
      <w:proofErr w:type="spellEnd"/>
      <w:r w:rsidR="005E726A">
        <w:rPr>
          <w:rFonts w:ascii="Tahoma" w:hAnsi="Tahoma" w:cs="Tahoma"/>
          <w:sz w:val="22"/>
          <w:szCs w:val="22"/>
        </w:rPr>
        <w:t xml:space="preserve">, </w:t>
      </w:r>
      <w:proofErr w:type="spellStart"/>
      <w:r w:rsidR="005E726A">
        <w:rPr>
          <w:rFonts w:ascii="Tahoma" w:hAnsi="Tahoma" w:cs="Tahoma"/>
          <w:sz w:val="22"/>
          <w:szCs w:val="22"/>
        </w:rPr>
        <w:t>Kimmtrak</w:t>
      </w:r>
      <w:proofErr w:type="spellEnd"/>
      <w:r w:rsidR="00A40DC7" w:rsidRPr="002A66DF">
        <w:rPr>
          <w:rFonts w:ascii="Tahoma" w:hAnsi="Tahoma" w:cs="Tahoma"/>
          <w:sz w:val="22"/>
          <w:szCs w:val="22"/>
        </w:rPr>
        <w:t xml:space="preserve">, </w:t>
      </w:r>
      <w:proofErr w:type="spellStart"/>
      <w:r w:rsidR="00A40DC7" w:rsidRPr="002A66DF">
        <w:rPr>
          <w:rFonts w:ascii="Tahoma" w:hAnsi="Tahoma" w:cs="Tahoma"/>
          <w:sz w:val="22"/>
          <w:szCs w:val="22"/>
        </w:rPr>
        <w:t>Xenpozime</w:t>
      </w:r>
      <w:proofErr w:type="spellEnd"/>
      <w:r w:rsidRPr="002A66DF">
        <w:rPr>
          <w:rFonts w:ascii="Tahoma" w:hAnsi="Tahoma" w:cs="Tahoma"/>
          <w:sz w:val="22"/>
          <w:szCs w:val="22"/>
        </w:rPr>
        <w:t xml:space="preserve">, </w:t>
      </w:r>
      <w:proofErr w:type="spellStart"/>
      <w:r w:rsidR="00A40DC7" w:rsidRPr="002A66DF">
        <w:rPr>
          <w:rFonts w:ascii="Tahoma" w:hAnsi="Tahoma" w:cs="Tahoma"/>
          <w:sz w:val="22"/>
          <w:szCs w:val="22"/>
        </w:rPr>
        <w:t>Kymriah</w:t>
      </w:r>
      <w:proofErr w:type="spellEnd"/>
      <w:r w:rsidRPr="002A66DF">
        <w:rPr>
          <w:rFonts w:ascii="Tahoma" w:hAnsi="Tahoma" w:cs="Tahoma"/>
          <w:sz w:val="22"/>
          <w:szCs w:val="22"/>
        </w:rPr>
        <w:t xml:space="preserve">) te donacije bioloških lijekova u iznosu od </w:t>
      </w:r>
      <w:r w:rsidRPr="002A66DF">
        <w:rPr>
          <w:rFonts w:ascii="Tahoma" w:hAnsi="Tahoma" w:cs="Tahoma"/>
          <w:bCs/>
          <w:sz w:val="22"/>
          <w:szCs w:val="22"/>
        </w:rPr>
        <w:t xml:space="preserve">4.089.565 EUR </w:t>
      </w:r>
      <w:r w:rsidRPr="002A66DF">
        <w:rPr>
          <w:rFonts w:ascii="Tahoma" w:hAnsi="Tahoma" w:cs="Tahoma"/>
          <w:sz w:val="22"/>
          <w:szCs w:val="22"/>
        </w:rPr>
        <w:t>(</w:t>
      </w:r>
      <w:proofErr w:type="spellStart"/>
      <w:r w:rsidRPr="002A66DF">
        <w:rPr>
          <w:rFonts w:ascii="Tahoma" w:hAnsi="Tahoma" w:cs="Tahoma"/>
          <w:sz w:val="22"/>
          <w:szCs w:val="22"/>
        </w:rPr>
        <w:t>Soliris</w:t>
      </w:r>
      <w:proofErr w:type="spellEnd"/>
      <w:r w:rsidRPr="002A66DF">
        <w:rPr>
          <w:rFonts w:ascii="Tahoma" w:hAnsi="Tahoma" w:cs="Tahoma"/>
          <w:sz w:val="22"/>
          <w:szCs w:val="22"/>
        </w:rPr>
        <w:t xml:space="preserve">, </w:t>
      </w:r>
      <w:proofErr w:type="spellStart"/>
      <w:r w:rsidR="00F77BA8" w:rsidRPr="002A66DF">
        <w:rPr>
          <w:rFonts w:ascii="Tahoma" w:hAnsi="Tahoma" w:cs="Tahoma"/>
          <w:sz w:val="22"/>
          <w:szCs w:val="22"/>
        </w:rPr>
        <w:t>Kesimpta</w:t>
      </w:r>
      <w:proofErr w:type="spellEnd"/>
      <w:r w:rsidRPr="002A66DF">
        <w:rPr>
          <w:rFonts w:ascii="Tahoma" w:hAnsi="Tahoma" w:cs="Tahoma"/>
          <w:sz w:val="22"/>
          <w:szCs w:val="22"/>
        </w:rPr>
        <w:t>) za potrebe kućne terapije HZZO-a.</w:t>
      </w:r>
    </w:p>
    <w:p w:rsidR="004865BC" w:rsidRPr="002A66DF" w:rsidRDefault="004865BC" w:rsidP="004865BC">
      <w:pPr>
        <w:jc w:val="both"/>
        <w:rPr>
          <w:rFonts w:ascii="Tahoma" w:hAnsi="Tahoma" w:cs="Tahoma"/>
          <w:sz w:val="22"/>
          <w:szCs w:val="22"/>
        </w:rPr>
      </w:pPr>
      <w:r w:rsidRPr="002A66DF">
        <w:rPr>
          <w:rFonts w:ascii="Tahoma" w:hAnsi="Tahoma" w:cs="Tahoma"/>
          <w:sz w:val="22"/>
          <w:szCs w:val="22"/>
        </w:rPr>
        <w:t xml:space="preserve">U razdoblju siječanj-prosinac 2023. godine primljene su kapitalne donacije (donacije u novcu namijenjene za kapitalna ulaganja – nabava opreme i donacije u stvarima – opremi) u iznosu od 340.116 EUR od čega se najznačajnije stavke odnose na donacije trgovačkih društava u opremi (elektrokirurški generator, </w:t>
      </w:r>
      <w:proofErr w:type="spellStart"/>
      <w:r w:rsidRPr="002A66DF">
        <w:rPr>
          <w:rFonts w:ascii="Tahoma" w:hAnsi="Tahoma" w:cs="Tahoma"/>
          <w:sz w:val="22"/>
          <w:szCs w:val="22"/>
        </w:rPr>
        <w:t>perfusori</w:t>
      </w:r>
      <w:proofErr w:type="spellEnd"/>
      <w:r w:rsidRPr="002A66DF">
        <w:rPr>
          <w:rFonts w:ascii="Tahoma" w:hAnsi="Tahoma" w:cs="Tahoma"/>
          <w:sz w:val="22"/>
          <w:szCs w:val="22"/>
        </w:rPr>
        <w:t>) te donacije od fizičkih osoba u opremi (respirator i radiometar).</w:t>
      </w:r>
    </w:p>
    <w:p w:rsidR="004865BC" w:rsidRPr="002A66DF" w:rsidRDefault="004865BC" w:rsidP="004865BC">
      <w:pPr>
        <w:jc w:val="both"/>
        <w:rPr>
          <w:rFonts w:ascii="Tahoma" w:hAnsi="Tahoma" w:cs="Tahoma"/>
          <w:sz w:val="22"/>
          <w:szCs w:val="22"/>
        </w:rPr>
      </w:pPr>
    </w:p>
    <w:tbl>
      <w:tblPr>
        <w:tblStyle w:val="TableGrid"/>
        <w:tblW w:w="0" w:type="auto"/>
        <w:tblLook w:val="04A0" w:firstRow="1" w:lastRow="0" w:firstColumn="1" w:lastColumn="0" w:noHBand="0" w:noVBand="1"/>
      </w:tblPr>
      <w:tblGrid>
        <w:gridCol w:w="2552"/>
        <w:gridCol w:w="1838"/>
        <w:gridCol w:w="1984"/>
        <w:gridCol w:w="2552"/>
      </w:tblGrid>
      <w:tr w:rsidR="004865BC" w:rsidRPr="002A66DF" w:rsidTr="00A40DC7">
        <w:trPr>
          <w:trHeight w:val="609"/>
        </w:trPr>
        <w:tc>
          <w:tcPr>
            <w:tcW w:w="2552" w:type="dxa"/>
            <w:vMerge w:val="restart"/>
            <w:vAlign w:val="center"/>
          </w:tcPr>
          <w:p w:rsidR="004865BC" w:rsidRPr="002A66DF" w:rsidRDefault="004865BC" w:rsidP="00A40DC7">
            <w:pPr>
              <w:ind w:right="-41"/>
              <w:jc w:val="center"/>
              <w:rPr>
                <w:rFonts w:ascii="Tahoma" w:hAnsi="Tahoma" w:cs="Tahoma"/>
                <w:b/>
                <w:sz w:val="20"/>
                <w:szCs w:val="20"/>
              </w:rPr>
            </w:pPr>
            <w:r w:rsidRPr="002A66DF">
              <w:rPr>
                <w:rFonts w:ascii="Tahoma" w:hAnsi="Tahoma" w:cs="Tahoma"/>
                <w:b/>
                <w:sz w:val="20"/>
                <w:szCs w:val="20"/>
              </w:rPr>
              <w:t>Prihodi od donacija od pravnih i fizičkih osoba izvan općeg proračuna</w:t>
            </w:r>
          </w:p>
        </w:tc>
        <w:tc>
          <w:tcPr>
            <w:tcW w:w="1838" w:type="dxa"/>
            <w:vAlign w:val="center"/>
          </w:tcPr>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Izvršenje</w:t>
            </w:r>
          </w:p>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2022</w:t>
            </w:r>
          </w:p>
        </w:tc>
        <w:tc>
          <w:tcPr>
            <w:tcW w:w="1984" w:type="dxa"/>
            <w:vAlign w:val="center"/>
          </w:tcPr>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Izvršenje</w:t>
            </w:r>
          </w:p>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2023</w:t>
            </w:r>
          </w:p>
        </w:tc>
        <w:tc>
          <w:tcPr>
            <w:tcW w:w="2552" w:type="dxa"/>
            <w:vAlign w:val="center"/>
          </w:tcPr>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Indeks</w:t>
            </w:r>
          </w:p>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2023/2022</w:t>
            </w:r>
          </w:p>
        </w:tc>
      </w:tr>
      <w:tr w:rsidR="004865BC" w:rsidRPr="001C0992" w:rsidTr="00A40DC7">
        <w:trPr>
          <w:trHeight w:val="447"/>
        </w:trPr>
        <w:tc>
          <w:tcPr>
            <w:tcW w:w="2552" w:type="dxa"/>
            <w:vMerge/>
          </w:tcPr>
          <w:p w:rsidR="004865BC" w:rsidRPr="002A66DF" w:rsidRDefault="004865BC" w:rsidP="00A40DC7">
            <w:pPr>
              <w:jc w:val="both"/>
              <w:rPr>
                <w:rFonts w:ascii="Tahoma" w:hAnsi="Tahoma" w:cs="Tahoma"/>
                <w:b/>
                <w:sz w:val="22"/>
                <w:szCs w:val="22"/>
              </w:rPr>
            </w:pPr>
          </w:p>
        </w:tc>
        <w:tc>
          <w:tcPr>
            <w:tcW w:w="1838" w:type="dxa"/>
            <w:vAlign w:val="center"/>
          </w:tcPr>
          <w:p w:rsidR="004865BC" w:rsidRPr="002A66DF" w:rsidRDefault="004865BC" w:rsidP="00A40DC7">
            <w:pPr>
              <w:jc w:val="right"/>
              <w:rPr>
                <w:rFonts w:ascii="Tahoma" w:hAnsi="Tahoma" w:cs="Tahoma"/>
                <w:b/>
                <w:sz w:val="22"/>
                <w:szCs w:val="22"/>
              </w:rPr>
            </w:pPr>
            <w:r w:rsidRPr="002A66DF">
              <w:rPr>
                <w:rFonts w:ascii="Tahoma" w:hAnsi="Tahoma" w:cs="Tahoma"/>
                <w:b/>
                <w:sz w:val="22"/>
                <w:szCs w:val="22"/>
              </w:rPr>
              <w:t>10.011.517</w:t>
            </w:r>
          </w:p>
        </w:tc>
        <w:tc>
          <w:tcPr>
            <w:tcW w:w="1984" w:type="dxa"/>
            <w:vAlign w:val="center"/>
          </w:tcPr>
          <w:p w:rsidR="004865BC" w:rsidRPr="002A66DF" w:rsidRDefault="004865BC" w:rsidP="00A40DC7">
            <w:pPr>
              <w:jc w:val="right"/>
              <w:rPr>
                <w:rFonts w:ascii="Tahoma" w:hAnsi="Tahoma" w:cs="Tahoma"/>
                <w:b/>
                <w:sz w:val="22"/>
                <w:szCs w:val="22"/>
              </w:rPr>
            </w:pPr>
            <w:r w:rsidRPr="002A66DF">
              <w:rPr>
                <w:rFonts w:ascii="Tahoma" w:hAnsi="Tahoma" w:cs="Tahoma"/>
                <w:b/>
                <w:sz w:val="22"/>
                <w:szCs w:val="22"/>
              </w:rPr>
              <w:t>12.982.896</w:t>
            </w:r>
          </w:p>
        </w:tc>
        <w:tc>
          <w:tcPr>
            <w:tcW w:w="2552" w:type="dxa"/>
            <w:vAlign w:val="center"/>
          </w:tcPr>
          <w:p w:rsidR="004865BC" w:rsidRPr="002A66DF" w:rsidRDefault="004865BC" w:rsidP="00A40DC7">
            <w:pPr>
              <w:jc w:val="right"/>
              <w:rPr>
                <w:rFonts w:ascii="Tahoma" w:hAnsi="Tahoma" w:cs="Tahoma"/>
                <w:b/>
                <w:sz w:val="22"/>
                <w:szCs w:val="22"/>
              </w:rPr>
            </w:pPr>
            <w:r w:rsidRPr="002A66DF">
              <w:rPr>
                <w:rFonts w:ascii="Tahoma" w:hAnsi="Tahoma" w:cs="Tahoma"/>
                <w:b/>
                <w:sz w:val="22"/>
                <w:szCs w:val="22"/>
              </w:rPr>
              <w:t>1,30</w:t>
            </w:r>
          </w:p>
        </w:tc>
      </w:tr>
    </w:tbl>
    <w:p w:rsidR="004865BC" w:rsidRDefault="004865BC" w:rsidP="004865BC">
      <w:pPr>
        <w:jc w:val="both"/>
        <w:rPr>
          <w:rFonts w:ascii="Tahoma" w:hAnsi="Tahoma" w:cs="Tahoma"/>
          <w:sz w:val="22"/>
          <w:szCs w:val="22"/>
        </w:rPr>
      </w:pPr>
    </w:p>
    <w:p w:rsidR="004865BC" w:rsidRDefault="004865BC" w:rsidP="004865BC">
      <w:pPr>
        <w:jc w:val="both"/>
        <w:rPr>
          <w:rFonts w:ascii="Tahoma" w:hAnsi="Tahoma" w:cs="Tahoma"/>
          <w:sz w:val="22"/>
          <w:szCs w:val="22"/>
        </w:rPr>
      </w:pPr>
    </w:p>
    <w:p w:rsidR="004865BC" w:rsidRDefault="004865BC" w:rsidP="004865BC">
      <w:pPr>
        <w:pStyle w:val="ListParagraph"/>
        <w:numPr>
          <w:ilvl w:val="1"/>
          <w:numId w:val="1"/>
        </w:numPr>
        <w:shd w:val="clear" w:color="auto" w:fill="FFFFFF"/>
        <w:ind w:left="709" w:hanging="709"/>
        <w:jc w:val="both"/>
        <w:rPr>
          <w:rFonts w:ascii="Tahoma" w:hAnsi="Tahoma" w:cs="Tahoma"/>
          <w:b/>
          <w:sz w:val="22"/>
          <w:szCs w:val="22"/>
        </w:rPr>
      </w:pPr>
      <w:r w:rsidRPr="005D3A6E">
        <w:rPr>
          <w:rFonts w:ascii="Tahoma" w:hAnsi="Tahoma" w:cs="Tahoma"/>
          <w:b/>
          <w:sz w:val="22"/>
          <w:szCs w:val="22"/>
        </w:rPr>
        <w:t xml:space="preserve">PRIHODI </w:t>
      </w:r>
      <w:r>
        <w:rPr>
          <w:rFonts w:ascii="Tahoma" w:hAnsi="Tahoma" w:cs="Tahoma"/>
          <w:b/>
          <w:sz w:val="22"/>
          <w:szCs w:val="22"/>
        </w:rPr>
        <w:t>IZ NADLEŽNOG PRORAČUNA ZA FINANCIRANJE REDOVNE DJELATNOSTI PRORAČUNSKIH KORISNIKA</w:t>
      </w:r>
    </w:p>
    <w:p w:rsidR="004865BC" w:rsidRPr="005D3A6E" w:rsidRDefault="004865BC" w:rsidP="004865BC">
      <w:pPr>
        <w:shd w:val="clear" w:color="auto" w:fill="FFFFFF"/>
        <w:jc w:val="both"/>
        <w:rPr>
          <w:rFonts w:ascii="Tahoma" w:hAnsi="Tahoma" w:cs="Tahoma"/>
          <w:sz w:val="22"/>
          <w:szCs w:val="22"/>
        </w:rPr>
      </w:pPr>
    </w:p>
    <w:p w:rsidR="004865BC" w:rsidRPr="002A66DF" w:rsidRDefault="004865BC" w:rsidP="004865BC">
      <w:pPr>
        <w:jc w:val="both"/>
        <w:rPr>
          <w:rFonts w:ascii="Tahoma" w:hAnsi="Tahoma" w:cs="Tahoma"/>
          <w:sz w:val="22"/>
          <w:szCs w:val="22"/>
        </w:rPr>
      </w:pPr>
      <w:r w:rsidRPr="002A66DF">
        <w:rPr>
          <w:rFonts w:ascii="Tahoma" w:hAnsi="Tahoma" w:cs="Tahoma"/>
          <w:b/>
          <w:sz w:val="22"/>
          <w:szCs w:val="22"/>
          <w:u w:val="single"/>
        </w:rPr>
        <w:t>Prihodi iz nadležnog proračuna za financiranje redovne djelatnosti proračunskih korisnika (Šifra 671)</w:t>
      </w:r>
      <w:r w:rsidRPr="002A66DF">
        <w:rPr>
          <w:rFonts w:ascii="Tahoma" w:hAnsi="Tahoma" w:cs="Tahoma"/>
          <w:sz w:val="22"/>
          <w:szCs w:val="22"/>
        </w:rPr>
        <w:t xml:space="preserve"> u razdoblju siječanj-prosinac 2023. godine iznose </w:t>
      </w:r>
      <w:r w:rsidRPr="00483516">
        <w:rPr>
          <w:rFonts w:ascii="Tahoma" w:hAnsi="Tahoma" w:cs="Tahoma"/>
          <w:sz w:val="22"/>
          <w:szCs w:val="22"/>
        </w:rPr>
        <w:t>60.593.796</w:t>
      </w:r>
      <w:r w:rsidRPr="002A66DF">
        <w:rPr>
          <w:rFonts w:ascii="Tahoma" w:hAnsi="Tahoma" w:cs="Tahoma"/>
          <w:sz w:val="22"/>
          <w:szCs w:val="22"/>
        </w:rPr>
        <w:t xml:space="preserve"> EUR. Smanjenje prihoda iz nadležnog proračuna u razdoblju siječanj-prosinac 2023. godine u odnosu na isto razdoblje prethodne godine iznosi 19,2%, a rezultat je doznačenih dodatnih sredstava, sukladno Odlukama Vlade Republike Hrvatske, od strane HZZO-a u iznosu od </w:t>
      </w:r>
      <w:r w:rsidRPr="00483516">
        <w:rPr>
          <w:rFonts w:ascii="Tahoma" w:hAnsi="Tahoma" w:cs="Tahoma"/>
          <w:sz w:val="22"/>
          <w:szCs w:val="22"/>
        </w:rPr>
        <w:t>30.646.585</w:t>
      </w:r>
      <w:r w:rsidRPr="002A66DF">
        <w:rPr>
          <w:rFonts w:ascii="Tahoma" w:hAnsi="Tahoma" w:cs="Tahoma"/>
          <w:sz w:val="22"/>
          <w:szCs w:val="22"/>
        </w:rPr>
        <w:t xml:space="preserve"> EUR koja su evidentirana na izvoru financiranja ostale pomoći i vrsti prihoda 6341 (obrazloženje pod točkom 1.4). Ostala dodatna sredstva </w:t>
      </w:r>
      <w:r w:rsidRPr="00424D64">
        <w:rPr>
          <w:rFonts w:ascii="Tahoma" w:hAnsi="Tahoma" w:cs="Tahoma"/>
          <w:sz w:val="22"/>
          <w:szCs w:val="22"/>
        </w:rPr>
        <w:t>preraspod</w:t>
      </w:r>
      <w:r w:rsidR="00241EA4" w:rsidRPr="00424D64">
        <w:rPr>
          <w:rFonts w:ascii="Tahoma" w:hAnsi="Tahoma" w:cs="Tahoma"/>
          <w:sz w:val="22"/>
          <w:szCs w:val="22"/>
        </w:rPr>
        <w:t>i</w:t>
      </w:r>
      <w:r w:rsidRPr="00424D64">
        <w:rPr>
          <w:rFonts w:ascii="Tahoma" w:hAnsi="Tahoma" w:cs="Tahoma"/>
          <w:sz w:val="22"/>
          <w:szCs w:val="22"/>
        </w:rPr>
        <w:t>jeljena</w:t>
      </w:r>
      <w:r w:rsidRPr="002A66DF">
        <w:rPr>
          <w:rFonts w:ascii="Tahoma" w:hAnsi="Tahoma" w:cs="Tahoma"/>
          <w:sz w:val="22"/>
          <w:szCs w:val="22"/>
        </w:rPr>
        <w:t xml:space="preserve"> su sa pozicija Ministarstva zdravstva i evidentirana na izvoru financiranja opći prihodi i primici te su namjenski utrošena za podmirenje dijela dospjelih obveza prema dobavljačima lijekova, potrošnog i </w:t>
      </w:r>
      <w:proofErr w:type="spellStart"/>
      <w:r w:rsidRPr="002A66DF">
        <w:rPr>
          <w:rFonts w:ascii="Tahoma" w:hAnsi="Tahoma" w:cs="Tahoma"/>
          <w:sz w:val="22"/>
          <w:szCs w:val="22"/>
        </w:rPr>
        <w:t>ugradbenog</w:t>
      </w:r>
      <w:proofErr w:type="spellEnd"/>
      <w:r w:rsidRPr="002A66DF">
        <w:rPr>
          <w:rFonts w:ascii="Tahoma" w:hAnsi="Tahoma" w:cs="Tahoma"/>
          <w:sz w:val="22"/>
          <w:szCs w:val="22"/>
        </w:rPr>
        <w:t xml:space="preserve"> medicinskog materijala (iznos od </w:t>
      </w:r>
      <w:r w:rsidRPr="00483516">
        <w:rPr>
          <w:rFonts w:ascii="Tahoma" w:hAnsi="Tahoma" w:cs="Tahoma"/>
          <w:sz w:val="22"/>
          <w:szCs w:val="22"/>
        </w:rPr>
        <w:lastRenderedPageBreak/>
        <w:t>35.610.136</w:t>
      </w:r>
      <w:r w:rsidRPr="002A66DF">
        <w:rPr>
          <w:rFonts w:ascii="Tahoma" w:hAnsi="Tahoma" w:cs="Tahoma"/>
          <w:sz w:val="22"/>
          <w:szCs w:val="22"/>
        </w:rPr>
        <w:t xml:space="preserve"> EUR) i isplatu razlike uvećanja pla</w:t>
      </w:r>
      <w:r w:rsidR="00F36F60">
        <w:rPr>
          <w:rFonts w:ascii="Tahoma" w:hAnsi="Tahoma" w:cs="Tahoma"/>
          <w:sz w:val="22"/>
          <w:szCs w:val="22"/>
        </w:rPr>
        <w:t xml:space="preserve">će za prekovremeni rad temeljem </w:t>
      </w:r>
      <w:r w:rsidRPr="002A66DF">
        <w:rPr>
          <w:rFonts w:ascii="Tahoma" w:hAnsi="Tahoma" w:cs="Tahoma"/>
          <w:sz w:val="22"/>
          <w:szCs w:val="22"/>
        </w:rPr>
        <w:t xml:space="preserve">zaključenih sporazuma s radnicima koji nisu pokrenuli </w:t>
      </w:r>
      <w:r w:rsidR="00893922">
        <w:rPr>
          <w:rFonts w:ascii="Tahoma" w:hAnsi="Tahoma" w:cs="Tahoma"/>
          <w:sz w:val="22"/>
          <w:szCs w:val="22"/>
        </w:rPr>
        <w:t>sudske postupke (</w:t>
      </w:r>
      <w:r w:rsidR="00893922" w:rsidRPr="00092C6D">
        <w:rPr>
          <w:rFonts w:ascii="Tahoma" w:hAnsi="Tahoma" w:cs="Tahoma"/>
          <w:sz w:val="22"/>
          <w:szCs w:val="22"/>
        </w:rPr>
        <w:t xml:space="preserve">iznos od </w:t>
      </w:r>
      <w:r w:rsidR="00893922" w:rsidRPr="00483516">
        <w:rPr>
          <w:rFonts w:ascii="Tahoma" w:hAnsi="Tahoma" w:cs="Tahoma"/>
          <w:sz w:val="22"/>
          <w:szCs w:val="22"/>
        </w:rPr>
        <w:t>20.727</w:t>
      </w:r>
      <w:r w:rsidRPr="00483516">
        <w:rPr>
          <w:rFonts w:ascii="Tahoma" w:hAnsi="Tahoma" w:cs="Tahoma"/>
          <w:sz w:val="22"/>
          <w:szCs w:val="22"/>
        </w:rPr>
        <w:t xml:space="preserve"> EUR).</w:t>
      </w:r>
    </w:p>
    <w:p w:rsidR="004865BC" w:rsidRPr="002A66DF" w:rsidRDefault="004865BC" w:rsidP="004865BC">
      <w:pPr>
        <w:jc w:val="both"/>
        <w:rPr>
          <w:rFonts w:ascii="Tahoma" w:hAnsi="Tahoma" w:cs="Tahoma"/>
          <w:sz w:val="22"/>
          <w:szCs w:val="22"/>
        </w:rPr>
      </w:pPr>
      <w:r w:rsidRPr="002A66DF">
        <w:rPr>
          <w:rFonts w:ascii="Tahoma" w:hAnsi="Tahoma" w:cs="Tahoma"/>
          <w:sz w:val="22"/>
          <w:szCs w:val="22"/>
        </w:rPr>
        <w:t xml:space="preserve">U razdoblju siječanj-prosinac 2023. godine povećani su prihodi iz nadležnog proračuna za financiranje rashoda za nabavu nefinancijske imovine obzirom da su provedene preraspodjele sredstava planiranih na pozicijama Ministarstva financija na tekućem projektu T767069 Provedba projekata za pokriće troškova čije financiranje je bilo predviđeno iz sredstava Europske unije i za pokriće troškova vezanih za nastavak obnove zgrada oštećenih potresom na području Grada Zagreba, Krapinsko-zagorske županije, Zagrebačke županije, Sisačko-moslavačke županije i Karlovačke županije. Navedena sredstva preraspodijeljena su na poziciju KBC-a Zagreb na kapitalni projekt K891007 Sanacija šteta od potresa na izvor financiranja 11 – Opći prihodi i primici u ukupnom iznosu od </w:t>
      </w:r>
      <w:r w:rsidRPr="00483516">
        <w:rPr>
          <w:rFonts w:ascii="Tahoma" w:hAnsi="Tahoma" w:cs="Tahoma"/>
          <w:sz w:val="22"/>
          <w:szCs w:val="22"/>
        </w:rPr>
        <w:t>19.335.296</w:t>
      </w:r>
      <w:r w:rsidRPr="002A66DF">
        <w:rPr>
          <w:rFonts w:ascii="Tahoma" w:hAnsi="Tahoma" w:cs="Tahoma"/>
          <w:sz w:val="22"/>
          <w:szCs w:val="22"/>
        </w:rPr>
        <w:t xml:space="preserve"> EUR.</w:t>
      </w:r>
    </w:p>
    <w:p w:rsidR="004865BC" w:rsidRPr="002A66DF" w:rsidRDefault="004865BC" w:rsidP="004865BC">
      <w:pPr>
        <w:jc w:val="both"/>
        <w:rPr>
          <w:rFonts w:ascii="Tahoma" w:hAnsi="Tahoma" w:cs="Tahoma"/>
          <w:sz w:val="22"/>
          <w:szCs w:val="22"/>
        </w:rPr>
      </w:pPr>
    </w:p>
    <w:tbl>
      <w:tblPr>
        <w:tblStyle w:val="TableGrid"/>
        <w:tblW w:w="0" w:type="auto"/>
        <w:tblLook w:val="04A0" w:firstRow="1" w:lastRow="0" w:firstColumn="1" w:lastColumn="0" w:noHBand="0" w:noVBand="1"/>
      </w:tblPr>
      <w:tblGrid>
        <w:gridCol w:w="2552"/>
        <w:gridCol w:w="1838"/>
        <w:gridCol w:w="1984"/>
        <w:gridCol w:w="2552"/>
      </w:tblGrid>
      <w:tr w:rsidR="004865BC" w:rsidRPr="002A66DF" w:rsidTr="00A40DC7">
        <w:trPr>
          <w:trHeight w:val="609"/>
        </w:trPr>
        <w:tc>
          <w:tcPr>
            <w:tcW w:w="2552" w:type="dxa"/>
            <w:vMerge w:val="restart"/>
            <w:vAlign w:val="center"/>
          </w:tcPr>
          <w:p w:rsidR="004865BC" w:rsidRPr="002A66DF" w:rsidRDefault="004865BC" w:rsidP="00A40DC7">
            <w:pPr>
              <w:ind w:right="-41"/>
              <w:jc w:val="center"/>
              <w:rPr>
                <w:rFonts w:ascii="Tahoma" w:hAnsi="Tahoma" w:cs="Tahoma"/>
                <w:b/>
                <w:sz w:val="20"/>
                <w:szCs w:val="20"/>
              </w:rPr>
            </w:pPr>
            <w:r w:rsidRPr="002A66DF">
              <w:rPr>
                <w:rFonts w:ascii="Tahoma" w:hAnsi="Tahoma" w:cs="Tahoma"/>
                <w:b/>
                <w:sz w:val="20"/>
                <w:szCs w:val="20"/>
              </w:rPr>
              <w:t>Prihodi iz nadležnog proračuna za financiranje redovne djelatnosti</w:t>
            </w:r>
          </w:p>
        </w:tc>
        <w:tc>
          <w:tcPr>
            <w:tcW w:w="1838" w:type="dxa"/>
            <w:vAlign w:val="center"/>
          </w:tcPr>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Izvršenje</w:t>
            </w:r>
          </w:p>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2022</w:t>
            </w:r>
          </w:p>
        </w:tc>
        <w:tc>
          <w:tcPr>
            <w:tcW w:w="1984" w:type="dxa"/>
            <w:vAlign w:val="center"/>
          </w:tcPr>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Izvršenje</w:t>
            </w:r>
          </w:p>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2023</w:t>
            </w:r>
          </w:p>
        </w:tc>
        <w:tc>
          <w:tcPr>
            <w:tcW w:w="2552" w:type="dxa"/>
            <w:vAlign w:val="center"/>
          </w:tcPr>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Indeks</w:t>
            </w:r>
          </w:p>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2023/2022</w:t>
            </w:r>
          </w:p>
        </w:tc>
      </w:tr>
      <w:tr w:rsidR="004865BC" w:rsidRPr="002A66DF" w:rsidTr="00A40DC7">
        <w:trPr>
          <w:trHeight w:val="447"/>
        </w:trPr>
        <w:tc>
          <w:tcPr>
            <w:tcW w:w="2552" w:type="dxa"/>
            <w:vMerge/>
          </w:tcPr>
          <w:p w:rsidR="004865BC" w:rsidRPr="002A66DF" w:rsidRDefault="004865BC" w:rsidP="00A40DC7">
            <w:pPr>
              <w:jc w:val="both"/>
              <w:rPr>
                <w:rFonts w:ascii="Tahoma" w:hAnsi="Tahoma" w:cs="Tahoma"/>
                <w:b/>
                <w:sz w:val="22"/>
                <w:szCs w:val="22"/>
              </w:rPr>
            </w:pPr>
          </w:p>
        </w:tc>
        <w:tc>
          <w:tcPr>
            <w:tcW w:w="1838" w:type="dxa"/>
            <w:vAlign w:val="center"/>
          </w:tcPr>
          <w:p w:rsidR="004865BC" w:rsidRPr="002A66DF" w:rsidRDefault="004865BC" w:rsidP="00A40DC7">
            <w:pPr>
              <w:jc w:val="right"/>
              <w:rPr>
                <w:rFonts w:ascii="Tahoma" w:hAnsi="Tahoma" w:cs="Tahoma"/>
                <w:b/>
                <w:sz w:val="22"/>
                <w:szCs w:val="22"/>
              </w:rPr>
            </w:pPr>
            <w:r w:rsidRPr="002A66DF">
              <w:rPr>
                <w:rFonts w:ascii="Tahoma" w:hAnsi="Tahoma" w:cs="Tahoma"/>
                <w:b/>
                <w:sz w:val="22"/>
                <w:szCs w:val="22"/>
              </w:rPr>
              <w:t>74.976.398</w:t>
            </w:r>
          </w:p>
        </w:tc>
        <w:tc>
          <w:tcPr>
            <w:tcW w:w="1984" w:type="dxa"/>
            <w:vAlign w:val="center"/>
          </w:tcPr>
          <w:p w:rsidR="004865BC" w:rsidRPr="002A66DF" w:rsidRDefault="004865BC" w:rsidP="00A40DC7">
            <w:pPr>
              <w:jc w:val="right"/>
              <w:rPr>
                <w:rFonts w:ascii="Tahoma" w:hAnsi="Tahoma" w:cs="Tahoma"/>
                <w:b/>
                <w:sz w:val="22"/>
                <w:szCs w:val="22"/>
              </w:rPr>
            </w:pPr>
            <w:r w:rsidRPr="002A66DF">
              <w:rPr>
                <w:rFonts w:ascii="Tahoma" w:hAnsi="Tahoma" w:cs="Tahoma"/>
                <w:b/>
                <w:sz w:val="22"/>
                <w:szCs w:val="22"/>
              </w:rPr>
              <w:t>60.593.796</w:t>
            </w:r>
          </w:p>
        </w:tc>
        <w:tc>
          <w:tcPr>
            <w:tcW w:w="2552" w:type="dxa"/>
            <w:vAlign w:val="center"/>
          </w:tcPr>
          <w:p w:rsidR="004865BC" w:rsidRPr="002A66DF" w:rsidRDefault="004865BC" w:rsidP="00A40DC7">
            <w:pPr>
              <w:jc w:val="right"/>
              <w:rPr>
                <w:rFonts w:ascii="Tahoma" w:hAnsi="Tahoma" w:cs="Tahoma"/>
                <w:b/>
                <w:sz w:val="22"/>
                <w:szCs w:val="22"/>
              </w:rPr>
            </w:pPr>
            <w:r w:rsidRPr="002A66DF">
              <w:rPr>
                <w:rFonts w:ascii="Tahoma" w:hAnsi="Tahoma" w:cs="Tahoma"/>
                <w:b/>
                <w:sz w:val="22"/>
                <w:szCs w:val="22"/>
              </w:rPr>
              <w:t>0,81</w:t>
            </w:r>
          </w:p>
        </w:tc>
      </w:tr>
    </w:tbl>
    <w:p w:rsidR="004865BC" w:rsidRDefault="004865BC" w:rsidP="004865BC">
      <w:pPr>
        <w:jc w:val="both"/>
        <w:rPr>
          <w:rFonts w:ascii="Tahoma" w:hAnsi="Tahoma" w:cs="Tahoma"/>
          <w:sz w:val="22"/>
          <w:szCs w:val="22"/>
        </w:rPr>
      </w:pPr>
    </w:p>
    <w:p w:rsidR="00976397" w:rsidRPr="002A66DF" w:rsidRDefault="00976397" w:rsidP="004865BC">
      <w:pPr>
        <w:jc w:val="both"/>
        <w:rPr>
          <w:rFonts w:ascii="Tahoma" w:hAnsi="Tahoma" w:cs="Tahoma"/>
          <w:sz w:val="22"/>
          <w:szCs w:val="22"/>
        </w:rPr>
      </w:pPr>
    </w:p>
    <w:p w:rsidR="004865BC" w:rsidRPr="002A66DF" w:rsidRDefault="004865BC" w:rsidP="004865BC">
      <w:pPr>
        <w:pStyle w:val="ListParagraph"/>
        <w:numPr>
          <w:ilvl w:val="1"/>
          <w:numId w:val="1"/>
        </w:numPr>
        <w:shd w:val="clear" w:color="auto" w:fill="FFFFFF"/>
        <w:ind w:hanging="1080"/>
        <w:jc w:val="both"/>
        <w:rPr>
          <w:rFonts w:ascii="Tahoma" w:hAnsi="Tahoma" w:cs="Tahoma"/>
          <w:b/>
          <w:sz w:val="22"/>
          <w:szCs w:val="22"/>
        </w:rPr>
      </w:pPr>
      <w:r w:rsidRPr="002A66DF">
        <w:rPr>
          <w:rFonts w:ascii="Tahoma" w:hAnsi="Tahoma" w:cs="Tahoma"/>
          <w:b/>
          <w:sz w:val="22"/>
          <w:szCs w:val="22"/>
        </w:rPr>
        <w:t>OSTALI PRIHODI</w:t>
      </w:r>
    </w:p>
    <w:p w:rsidR="004865BC" w:rsidRPr="002A66DF" w:rsidRDefault="004865BC" w:rsidP="004865BC">
      <w:pPr>
        <w:jc w:val="both"/>
        <w:rPr>
          <w:rFonts w:ascii="Tahoma" w:hAnsi="Tahoma" w:cs="Tahoma"/>
          <w:b/>
          <w:sz w:val="22"/>
          <w:szCs w:val="22"/>
          <w:u w:val="single"/>
        </w:rPr>
      </w:pPr>
    </w:p>
    <w:p w:rsidR="004865BC" w:rsidRPr="002A66DF" w:rsidRDefault="004865BC" w:rsidP="004865BC">
      <w:pPr>
        <w:jc w:val="both"/>
        <w:rPr>
          <w:rFonts w:ascii="Tahoma" w:hAnsi="Tahoma" w:cs="Tahoma"/>
          <w:sz w:val="22"/>
          <w:szCs w:val="22"/>
        </w:rPr>
      </w:pPr>
      <w:r w:rsidRPr="002A66DF">
        <w:rPr>
          <w:rFonts w:ascii="Tahoma" w:hAnsi="Tahoma" w:cs="Tahoma"/>
          <w:b/>
          <w:sz w:val="22"/>
          <w:szCs w:val="22"/>
          <w:u w:val="single"/>
        </w:rPr>
        <w:t>Ostali prihodi (Šifra 683</w:t>
      </w:r>
      <w:r w:rsidRPr="002A66DF">
        <w:rPr>
          <w:rFonts w:ascii="Tahoma" w:hAnsi="Tahoma" w:cs="Tahoma"/>
          <w:sz w:val="22"/>
          <w:szCs w:val="22"/>
        </w:rPr>
        <w:t>) u razdoblju siječanj-prosinac 2023. godine iznose 2.689.057 EUR. Smanjenje ostalih prihoda u razdoblju siječanj-prosinac 2023. godine u odnosu na isto razdoblje prethodne godine iznosi 13,4%, a rezultat je manje ostvarenih viškova lijekova.</w:t>
      </w:r>
    </w:p>
    <w:p w:rsidR="004865BC" w:rsidRPr="002A66DF" w:rsidRDefault="004865BC" w:rsidP="004865BC">
      <w:pPr>
        <w:jc w:val="both"/>
        <w:rPr>
          <w:rFonts w:ascii="Tahoma" w:hAnsi="Tahoma" w:cs="Tahoma"/>
          <w:sz w:val="22"/>
          <w:szCs w:val="22"/>
        </w:rPr>
      </w:pPr>
      <w:r w:rsidRPr="002A66DF">
        <w:rPr>
          <w:rFonts w:ascii="Tahoma" w:hAnsi="Tahoma" w:cs="Tahoma"/>
          <w:sz w:val="22"/>
          <w:szCs w:val="22"/>
        </w:rPr>
        <w:t>Viškovi lijekova u svakodnevnom ljekarničkom poslovanju najvećim dijelom pojavljuju se u Odjelu centralne pripreme citostatika, a radi individualne terapije za svakog pacijenta (prosječno cca 350-400 terapija dnevno), pri čemu se vodi računa o maksimalnoj iskoristivosti sastavnica (lijekova od kojih se izrađuje navedena terapija). Proizvođači u Sažetku opisa svojstava navode da li u originalnom pakiranju postoji količina lijeka koja se odnosi na dodatni volumen odnosno višak lijeka na koji Odjel centralne pripreme citostatika maksimalno pazi, objedinjuje ga i koristi za nove terapije. Radi se o velikom obrtaju lijekova s visokim cijenama.</w:t>
      </w:r>
    </w:p>
    <w:p w:rsidR="004865BC" w:rsidRPr="002A66DF" w:rsidRDefault="004865BC" w:rsidP="004865BC">
      <w:pPr>
        <w:jc w:val="both"/>
        <w:rPr>
          <w:rFonts w:ascii="Tahoma" w:hAnsi="Tahoma" w:cs="Tahoma"/>
          <w:sz w:val="22"/>
          <w:szCs w:val="22"/>
        </w:rPr>
      </w:pPr>
    </w:p>
    <w:tbl>
      <w:tblPr>
        <w:tblStyle w:val="TableGrid"/>
        <w:tblW w:w="0" w:type="auto"/>
        <w:tblLook w:val="04A0" w:firstRow="1" w:lastRow="0" w:firstColumn="1" w:lastColumn="0" w:noHBand="0" w:noVBand="1"/>
      </w:tblPr>
      <w:tblGrid>
        <w:gridCol w:w="2552"/>
        <w:gridCol w:w="1838"/>
        <w:gridCol w:w="1984"/>
        <w:gridCol w:w="2552"/>
      </w:tblGrid>
      <w:tr w:rsidR="004865BC" w:rsidRPr="002A66DF" w:rsidTr="00A40DC7">
        <w:trPr>
          <w:trHeight w:val="609"/>
        </w:trPr>
        <w:tc>
          <w:tcPr>
            <w:tcW w:w="2552" w:type="dxa"/>
            <w:vMerge w:val="restart"/>
            <w:vAlign w:val="center"/>
          </w:tcPr>
          <w:p w:rsidR="004865BC" w:rsidRPr="002A66DF" w:rsidRDefault="004865BC" w:rsidP="00A40DC7">
            <w:pPr>
              <w:ind w:right="-41"/>
              <w:jc w:val="center"/>
              <w:rPr>
                <w:rFonts w:ascii="Tahoma" w:hAnsi="Tahoma" w:cs="Tahoma"/>
                <w:b/>
                <w:sz w:val="20"/>
                <w:szCs w:val="20"/>
              </w:rPr>
            </w:pPr>
            <w:r w:rsidRPr="002A66DF">
              <w:rPr>
                <w:rFonts w:ascii="Tahoma" w:hAnsi="Tahoma" w:cs="Tahoma"/>
                <w:b/>
                <w:sz w:val="20"/>
                <w:szCs w:val="20"/>
              </w:rPr>
              <w:t>Ostali prihodi</w:t>
            </w:r>
          </w:p>
        </w:tc>
        <w:tc>
          <w:tcPr>
            <w:tcW w:w="1838" w:type="dxa"/>
            <w:vAlign w:val="center"/>
          </w:tcPr>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Izvršenje</w:t>
            </w:r>
          </w:p>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2022</w:t>
            </w:r>
          </w:p>
        </w:tc>
        <w:tc>
          <w:tcPr>
            <w:tcW w:w="1984" w:type="dxa"/>
            <w:vAlign w:val="center"/>
          </w:tcPr>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Izvršenje</w:t>
            </w:r>
          </w:p>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2023</w:t>
            </w:r>
          </w:p>
        </w:tc>
        <w:tc>
          <w:tcPr>
            <w:tcW w:w="2552" w:type="dxa"/>
            <w:vAlign w:val="center"/>
          </w:tcPr>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Indeks</w:t>
            </w:r>
          </w:p>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2023/2022</w:t>
            </w:r>
          </w:p>
        </w:tc>
      </w:tr>
      <w:tr w:rsidR="004865BC" w:rsidRPr="002A66DF" w:rsidTr="00A40DC7">
        <w:trPr>
          <w:trHeight w:val="447"/>
        </w:trPr>
        <w:tc>
          <w:tcPr>
            <w:tcW w:w="2552" w:type="dxa"/>
            <w:vMerge/>
          </w:tcPr>
          <w:p w:rsidR="004865BC" w:rsidRPr="002A66DF" w:rsidRDefault="004865BC" w:rsidP="00A40DC7">
            <w:pPr>
              <w:jc w:val="both"/>
              <w:rPr>
                <w:rFonts w:ascii="Tahoma" w:hAnsi="Tahoma" w:cs="Tahoma"/>
                <w:b/>
                <w:sz w:val="22"/>
                <w:szCs w:val="22"/>
              </w:rPr>
            </w:pPr>
          </w:p>
        </w:tc>
        <w:tc>
          <w:tcPr>
            <w:tcW w:w="1838" w:type="dxa"/>
            <w:vAlign w:val="center"/>
          </w:tcPr>
          <w:p w:rsidR="004865BC" w:rsidRPr="002A66DF" w:rsidRDefault="004865BC" w:rsidP="00A40DC7">
            <w:pPr>
              <w:jc w:val="right"/>
              <w:rPr>
                <w:rFonts w:ascii="Tahoma" w:hAnsi="Tahoma" w:cs="Tahoma"/>
                <w:b/>
                <w:sz w:val="22"/>
                <w:szCs w:val="22"/>
              </w:rPr>
            </w:pPr>
            <w:r w:rsidRPr="002A66DF">
              <w:rPr>
                <w:rFonts w:ascii="Tahoma" w:hAnsi="Tahoma" w:cs="Tahoma"/>
                <w:b/>
                <w:sz w:val="22"/>
                <w:szCs w:val="22"/>
              </w:rPr>
              <w:t>3.104.922</w:t>
            </w:r>
          </w:p>
        </w:tc>
        <w:tc>
          <w:tcPr>
            <w:tcW w:w="1984" w:type="dxa"/>
            <w:vAlign w:val="center"/>
          </w:tcPr>
          <w:p w:rsidR="004865BC" w:rsidRPr="002A66DF" w:rsidRDefault="004865BC" w:rsidP="00A40DC7">
            <w:pPr>
              <w:jc w:val="right"/>
              <w:rPr>
                <w:rFonts w:ascii="Tahoma" w:hAnsi="Tahoma" w:cs="Tahoma"/>
                <w:b/>
                <w:sz w:val="22"/>
                <w:szCs w:val="22"/>
              </w:rPr>
            </w:pPr>
            <w:r w:rsidRPr="002A66DF">
              <w:rPr>
                <w:rFonts w:ascii="Tahoma" w:hAnsi="Tahoma" w:cs="Tahoma"/>
                <w:b/>
                <w:sz w:val="22"/>
                <w:szCs w:val="22"/>
              </w:rPr>
              <w:t>2.689.057</w:t>
            </w:r>
          </w:p>
        </w:tc>
        <w:tc>
          <w:tcPr>
            <w:tcW w:w="2552" w:type="dxa"/>
            <w:vAlign w:val="center"/>
          </w:tcPr>
          <w:p w:rsidR="004865BC" w:rsidRPr="002A66DF" w:rsidRDefault="004865BC" w:rsidP="00A40DC7">
            <w:pPr>
              <w:jc w:val="right"/>
              <w:rPr>
                <w:rFonts w:ascii="Tahoma" w:hAnsi="Tahoma" w:cs="Tahoma"/>
                <w:b/>
                <w:sz w:val="22"/>
                <w:szCs w:val="22"/>
              </w:rPr>
            </w:pPr>
            <w:r w:rsidRPr="002A66DF">
              <w:rPr>
                <w:rFonts w:ascii="Tahoma" w:hAnsi="Tahoma" w:cs="Tahoma"/>
                <w:b/>
                <w:sz w:val="22"/>
                <w:szCs w:val="22"/>
              </w:rPr>
              <w:t>0,87</w:t>
            </w:r>
          </w:p>
        </w:tc>
      </w:tr>
    </w:tbl>
    <w:p w:rsidR="004865BC" w:rsidRDefault="004865BC" w:rsidP="004865BC">
      <w:pPr>
        <w:jc w:val="both"/>
        <w:rPr>
          <w:rFonts w:ascii="Tahoma" w:hAnsi="Tahoma" w:cs="Tahoma"/>
          <w:sz w:val="22"/>
          <w:szCs w:val="22"/>
        </w:rPr>
      </w:pPr>
    </w:p>
    <w:p w:rsidR="00F869A6" w:rsidRPr="002A66DF" w:rsidRDefault="00F869A6" w:rsidP="004865BC">
      <w:pPr>
        <w:jc w:val="both"/>
        <w:rPr>
          <w:rFonts w:ascii="Tahoma" w:hAnsi="Tahoma" w:cs="Tahoma"/>
          <w:b/>
          <w:sz w:val="22"/>
          <w:szCs w:val="22"/>
        </w:rPr>
      </w:pPr>
    </w:p>
    <w:p w:rsidR="004865BC" w:rsidRPr="002A66DF" w:rsidRDefault="004865BC" w:rsidP="004865BC">
      <w:pPr>
        <w:pStyle w:val="ListParagraph"/>
        <w:numPr>
          <w:ilvl w:val="1"/>
          <w:numId w:val="1"/>
        </w:numPr>
        <w:ind w:hanging="1080"/>
        <w:jc w:val="both"/>
        <w:rPr>
          <w:rFonts w:ascii="Tahoma" w:hAnsi="Tahoma" w:cs="Tahoma"/>
          <w:b/>
          <w:sz w:val="22"/>
          <w:szCs w:val="22"/>
          <w:u w:val="single"/>
        </w:rPr>
      </w:pPr>
      <w:r w:rsidRPr="002A66DF">
        <w:rPr>
          <w:rFonts w:ascii="Tahoma" w:hAnsi="Tahoma" w:cs="Tahoma"/>
          <w:b/>
          <w:sz w:val="22"/>
          <w:szCs w:val="22"/>
        </w:rPr>
        <w:t>PRIMICI OD FINANCIJSKE IMOVINE I ZADUŽIVANJA</w:t>
      </w:r>
    </w:p>
    <w:p w:rsidR="004865BC" w:rsidRPr="002A66DF" w:rsidRDefault="004865BC" w:rsidP="004865BC">
      <w:pPr>
        <w:pStyle w:val="ListParagraph"/>
        <w:ind w:left="1080"/>
        <w:jc w:val="both"/>
        <w:rPr>
          <w:rFonts w:ascii="Tahoma" w:hAnsi="Tahoma" w:cs="Tahoma"/>
          <w:b/>
          <w:sz w:val="22"/>
          <w:szCs w:val="22"/>
          <w:u w:val="single"/>
        </w:rPr>
      </w:pPr>
    </w:p>
    <w:p w:rsidR="004865BC" w:rsidRPr="002A66DF" w:rsidRDefault="004865BC" w:rsidP="004865BC">
      <w:pPr>
        <w:jc w:val="both"/>
        <w:rPr>
          <w:rFonts w:ascii="Tahoma" w:hAnsi="Tahoma" w:cs="Tahoma"/>
          <w:sz w:val="22"/>
          <w:szCs w:val="22"/>
        </w:rPr>
      </w:pPr>
      <w:r w:rsidRPr="002A66DF">
        <w:rPr>
          <w:rFonts w:ascii="Tahoma" w:hAnsi="Tahoma" w:cs="Tahoma"/>
          <w:b/>
          <w:sz w:val="22"/>
          <w:szCs w:val="22"/>
          <w:u w:val="single"/>
        </w:rPr>
        <w:t xml:space="preserve">Primici od financijske imovine i zaduživanja (Šifra 8) </w:t>
      </w:r>
      <w:r w:rsidRPr="002A66DF">
        <w:rPr>
          <w:rFonts w:ascii="Tahoma" w:hAnsi="Tahoma" w:cs="Tahoma"/>
          <w:sz w:val="22"/>
          <w:szCs w:val="22"/>
        </w:rPr>
        <w:t>u razdoblju siječanj-prosinac 2023. godine iznose 6.687.996 EUR. Smanjenje primitaka od financijske imovine i zaduživanja u razdoblju siječanj-prosinac 2023. godine u odnosu na isto razdoblje prethodne godine iznosi 35,7%, a rezultat je manje primljenih zajmova od tuzemnih trgovačkih društava izvan javnog sektora – za nabavu nefinancijske imovine putem robnog zajma.</w:t>
      </w:r>
    </w:p>
    <w:p w:rsidR="004865BC" w:rsidRPr="002A66DF" w:rsidRDefault="004865BC" w:rsidP="004865BC">
      <w:pPr>
        <w:jc w:val="both"/>
        <w:rPr>
          <w:rFonts w:ascii="Tahoma" w:hAnsi="Tahoma" w:cs="Tahoma"/>
          <w:sz w:val="22"/>
          <w:szCs w:val="22"/>
        </w:rPr>
      </w:pPr>
      <w:r w:rsidRPr="002A66DF">
        <w:rPr>
          <w:rFonts w:ascii="Tahoma" w:hAnsi="Tahoma" w:cs="Tahoma"/>
          <w:sz w:val="22"/>
          <w:szCs w:val="22"/>
        </w:rPr>
        <w:t xml:space="preserve">Najznačajnije nabave izvršene putem robnog zajma odnose se na nabavu endoskopskih stupova, operacijskih lampi, respiratora </w:t>
      </w:r>
      <w:proofErr w:type="spellStart"/>
      <w:r w:rsidRPr="002A66DF">
        <w:rPr>
          <w:rFonts w:ascii="Tahoma" w:hAnsi="Tahoma" w:cs="Tahoma"/>
          <w:sz w:val="22"/>
          <w:szCs w:val="22"/>
        </w:rPr>
        <w:t>neonatalni</w:t>
      </w:r>
      <w:proofErr w:type="spellEnd"/>
      <w:r w:rsidRPr="002A66DF">
        <w:rPr>
          <w:rFonts w:ascii="Tahoma" w:hAnsi="Tahoma" w:cs="Tahoma"/>
          <w:sz w:val="22"/>
          <w:szCs w:val="22"/>
        </w:rPr>
        <w:t xml:space="preserve"> s funkcijom visokofrekventne ventilacije, elektrokirurške platforme,</w:t>
      </w:r>
      <w:r w:rsidRPr="002A66DF">
        <w:t xml:space="preserve"> </w:t>
      </w:r>
      <w:r w:rsidRPr="002A66DF">
        <w:rPr>
          <w:rFonts w:ascii="Tahoma" w:hAnsi="Tahoma" w:cs="Tahoma"/>
          <w:sz w:val="22"/>
          <w:szCs w:val="22"/>
        </w:rPr>
        <w:t>UZV uređaja, inkubatora visoke razine te tomografija 3D, kompjuterizirana, za snimanje ekstremiteta.</w:t>
      </w:r>
    </w:p>
    <w:p w:rsidR="004865BC" w:rsidRPr="002A66DF" w:rsidRDefault="004865BC" w:rsidP="004865BC">
      <w:pPr>
        <w:jc w:val="both"/>
        <w:rPr>
          <w:rFonts w:ascii="Tahoma" w:hAnsi="Tahoma" w:cs="Tahoma"/>
          <w:sz w:val="22"/>
          <w:szCs w:val="22"/>
        </w:rPr>
      </w:pPr>
    </w:p>
    <w:tbl>
      <w:tblPr>
        <w:tblStyle w:val="TableGrid"/>
        <w:tblW w:w="0" w:type="auto"/>
        <w:tblLook w:val="04A0" w:firstRow="1" w:lastRow="0" w:firstColumn="1" w:lastColumn="0" w:noHBand="0" w:noVBand="1"/>
      </w:tblPr>
      <w:tblGrid>
        <w:gridCol w:w="2552"/>
        <w:gridCol w:w="1984"/>
        <w:gridCol w:w="1701"/>
        <w:gridCol w:w="2547"/>
      </w:tblGrid>
      <w:tr w:rsidR="004865BC" w:rsidRPr="002A66DF" w:rsidTr="00A40DC7">
        <w:trPr>
          <w:trHeight w:val="609"/>
        </w:trPr>
        <w:tc>
          <w:tcPr>
            <w:tcW w:w="2552" w:type="dxa"/>
            <w:vMerge w:val="restart"/>
            <w:vAlign w:val="center"/>
          </w:tcPr>
          <w:p w:rsidR="004865BC" w:rsidRPr="002A66DF" w:rsidRDefault="004865BC" w:rsidP="00A40DC7">
            <w:pPr>
              <w:ind w:right="-41"/>
              <w:jc w:val="center"/>
              <w:rPr>
                <w:rFonts w:ascii="Tahoma" w:hAnsi="Tahoma" w:cs="Tahoma"/>
                <w:b/>
                <w:sz w:val="20"/>
                <w:szCs w:val="20"/>
              </w:rPr>
            </w:pPr>
            <w:r w:rsidRPr="002A66DF">
              <w:rPr>
                <w:rFonts w:ascii="Tahoma" w:hAnsi="Tahoma" w:cs="Tahoma"/>
                <w:b/>
                <w:sz w:val="20"/>
                <w:szCs w:val="20"/>
              </w:rPr>
              <w:t>Primici od financijske imovine i zaduživanja</w:t>
            </w:r>
          </w:p>
        </w:tc>
        <w:tc>
          <w:tcPr>
            <w:tcW w:w="1984" w:type="dxa"/>
            <w:vAlign w:val="center"/>
          </w:tcPr>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 xml:space="preserve">Izvršenje </w:t>
            </w:r>
          </w:p>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2022</w:t>
            </w:r>
          </w:p>
        </w:tc>
        <w:tc>
          <w:tcPr>
            <w:tcW w:w="1701" w:type="dxa"/>
            <w:vAlign w:val="center"/>
          </w:tcPr>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Izvršenje</w:t>
            </w:r>
          </w:p>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2023</w:t>
            </w:r>
          </w:p>
        </w:tc>
        <w:tc>
          <w:tcPr>
            <w:tcW w:w="2547" w:type="dxa"/>
            <w:vAlign w:val="center"/>
          </w:tcPr>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Indeks</w:t>
            </w:r>
          </w:p>
          <w:p w:rsidR="004865BC" w:rsidRPr="002A66DF" w:rsidRDefault="004865BC" w:rsidP="00A40DC7">
            <w:pPr>
              <w:jc w:val="center"/>
              <w:rPr>
                <w:rFonts w:ascii="Tahoma" w:hAnsi="Tahoma" w:cs="Tahoma"/>
                <w:b/>
                <w:sz w:val="22"/>
                <w:szCs w:val="22"/>
              </w:rPr>
            </w:pPr>
            <w:r w:rsidRPr="002A66DF">
              <w:rPr>
                <w:rFonts w:ascii="Tahoma" w:hAnsi="Tahoma" w:cs="Tahoma"/>
                <w:b/>
                <w:sz w:val="22"/>
                <w:szCs w:val="22"/>
              </w:rPr>
              <w:t>2023/2022</w:t>
            </w:r>
          </w:p>
        </w:tc>
      </w:tr>
      <w:tr w:rsidR="004865BC" w:rsidRPr="001C0992" w:rsidTr="00A40DC7">
        <w:trPr>
          <w:trHeight w:val="447"/>
        </w:trPr>
        <w:tc>
          <w:tcPr>
            <w:tcW w:w="2552" w:type="dxa"/>
            <w:vMerge/>
          </w:tcPr>
          <w:p w:rsidR="004865BC" w:rsidRPr="002A66DF" w:rsidRDefault="004865BC" w:rsidP="00A40DC7">
            <w:pPr>
              <w:jc w:val="both"/>
              <w:rPr>
                <w:rFonts w:ascii="Tahoma" w:hAnsi="Tahoma" w:cs="Tahoma"/>
                <w:b/>
                <w:sz w:val="22"/>
                <w:szCs w:val="22"/>
              </w:rPr>
            </w:pPr>
          </w:p>
        </w:tc>
        <w:tc>
          <w:tcPr>
            <w:tcW w:w="1984" w:type="dxa"/>
            <w:vAlign w:val="center"/>
          </w:tcPr>
          <w:p w:rsidR="004865BC" w:rsidRPr="002A66DF" w:rsidRDefault="004865BC" w:rsidP="00A40DC7">
            <w:pPr>
              <w:jc w:val="right"/>
              <w:rPr>
                <w:rFonts w:ascii="Tahoma" w:hAnsi="Tahoma" w:cs="Tahoma"/>
                <w:b/>
                <w:sz w:val="22"/>
                <w:szCs w:val="22"/>
              </w:rPr>
            </w:pPr>
            <w:r w:rsidRPr="002A66DF">
              <w:rPr>
                <w:rFonts w:ascii="Tahoma" w:hAnsi="Tahoma" w:cs="Tahoma"/>
                <w:b/>
                <w:sz w:val="22"/>
                <w:szCs w:val="22"/>
              </w:rPr>
              <w:t>10.402.153</w:t>
            </w:r>
          </w:p>
        </w:tc>
        <w:tc>
          <w:tcPr>
            <w:tcW w:w="1701" w:type="dxa"/>
            <w:vAlign w:val="center"/>
          </w:tcPr>
          <w:p w:rsidR="004865BC" w:rsidRPr="002A66DF" w:rsidRDefault="004865BC" w:rsidP="00A40DC7">
            <w:pPr>
              <w:jc w:val="right"/>
              <w:rPr>
                <w:rFonts w:ascii="Tahoma" w:hAnsi="Tahoma" w:cs="Tahoma"/>
                <w:b/>
                <w:sz w:val="22"/>
                <w:szCs w:val="22"/>
              </w:rPr>
            </w:pPr>
            <w:r w:rsidRPr="002A66DF">
              <w:rPr>
                <w:rFonts w:ascii="Tahoma" w:hAnsi="Tahoma" w:cs="Tahoma"/>
                <w:b/>
                <w:sz w:val="22"/>
                <w:szCs w:val="22"/>
              </w:rPr>
              <w:t>6.687.996</w:t>
            </w:r>
          </w:p>
        </w:tc>
        <w:tc>
          <w:tcPr>
            <w:tcW w:w="2547" w:type="dxa"/>
            <w:vAlign w:val="center"/>
          </w:tcPr>
          <w:p w:rsidR="004865BC" w:rsidRPr="002A66DF" w:rsidRDefault="004865BC" w:rsidP="00A40DC7">
            <w:pPr>
              <w:jc w:val="right"/>
              <w:rPr>
                <w:rFonts w:ascii="Tahoma" w:hAnsi="Tahoma" w:cs="Tahoma"/>
                <w:b/>
                <w:sz w:val="22"/>
                <w:szCs w:val="22"/>
              </w:rPr>
            </w:pPr>
            <w:r w:rsidRPr="002A66DF">
              <w:rPr>
                <w:rFonts w:ascii="Tahoma" w:hAnsi="Tahoma" w:cs="Tahoma"/>
                <w:b/>
                <w:sz w:val="22"/>
                <w:szCs w:val="22"/>
              </w:rPr>
              <w:t>0,64</w:t>
            </w:r>
          </w:p>
        </w:tc>
      </w:tr>
    </w:tbl>
    <w:p w:rsidR="00976397" w:rsidRDefault="00976397" w:rsidP="00976397">
      <w:pPr>
        <w:pStyle w:val="ListParagraph"/>
        <w:ind w:left="426"/>
        <w:jc w:val="both"/>
        <w:rPr>
          <w:rFonts w:ascii="Tahoma" w:hAnsi="Tahoma" w:cs="Tahoma"/>
          <w:b/>
          <w:sz w:val="22"/>
          <w:szCs w:val="22"/>
        </w:rPr>
      </w:pPr>
    </w:p>
    <w:p w:rsidR="001621B4" w:rsidRPr="00C55AAB" w:rsidRDefault="001621B4" w:rsidP="00C55AAB">
      <w:pPr>
        <w:pStyle w:val="ListParagraph"/>
        <w:numPr>
          <w:ilvl w:val="0"/>
          <w:numId w:val="1"/>
        </w:numPr>
        <w:ind w:left="426" w:hanging="426"/>
        <w:jc w:val="both"/>
        <w:rPr>
          <w:rFonts w:ascii="Tahoma" w:hAnsi="Tahoma" w:cs="Tahoma"/>
          <w:b/>
          <w:sz w:val="22"/>
          <w:szCs w:val="22"/>
        </w:rPr>
      </w:pPr>
      <w:r w:rsidRPr="00C55AAB">
        <w:rPr>
          <w:rFonts w:ascii="Tahoma" w:hAnsi="Tahoma" w:cs="Tahoma"/>
          <w:b/>
          <w:sz w:val="22"/>
          <w:szCs w:val="22"/>
        </w:rPr>
        <w:lastRenderedPageBreak/>
        <w:t>RASHODI</w:t>
      </w:r>
    </w:p>
    <w:p w:rsidR="001621B4" w:rsidRPr="00C55AAB" w:rsidRDefault="001621B4" w:rsidP="00C55AAB">
      <w:pPr>
        <w:pStyle w:val="ListParagraph"/>
        <w:numPr>
          <w:ilvl w:val="1"/>
          <w:numId w:val="17"/>
        </w:numPr>
        <w:ind w:left="426" w:hanging="426"/>
        <w:jc w:val="both"/>
        <w:rPr>
          <w:rFonts w:ascii="Tahoma" w:hAnsi="Tahoma" w:cs="Tahoma"/>
          <w:b/>
          <w:sz w:val="22"/>
          <w:szCs w:val="22"/>
        </w:rPr>
      </w:pPr>
      <w:r w:rsidRPr="00C55AAB">
        <w:rPr>
          <w:rFonts w:ascii="Tahoma" w:hAnsi="Tahoma" w:cs="Tahoma"/>
          <w:b/>
          <w:sz w:val="22"/>
          <w:szCs w:val="22"/>
        </w:rPr>
        <w:tab/>
        <w:t>RASHODI ZA ZAPOSLENE</w:t>
      </w:r>
    </w:p>
    <w:p w:rsidR="001621B4" w:rsidRPr="00DA4956" w:rsidRDefault="001621B4" w:rsidP="001621B4">
      <w:pPr>
        <w:jc w:val="both"/>
        <w:rPr>
          <w:rFonts w:ascii="Tahoma" w:hAnsi="Tahoma" w:cs="Tahoma"/>
          <w:sz w:val="22"/>
          <w:szCs w:val="22"/>
        </w:rPr>
      </w:pPr>
    </w:p>
    <w:p w:rsidR="003877E3" w:rsidRPr="002A66DF" w:rsidRDefault="003877E3" w:rsidP="003877E3">
      <w:pPr>
        <w:jc w:val="both"/>
        <w:rPr>
          <w:rFonts w:ascii="Tahoma" w:hAnsi="Tahoma" w:cs="Tahoma"/>
          <w:sz w:val="22"/>
          <w:szCs w:val="22"/>
        </w:rPr>
      </w:pPr>
      <w:r w:rsidRPr="002A66DF">
        <w:rPr>
          <w:rFonts w:ascii="Tahoma" w:hAnsi="Tahoma" w:cs="Tahoma"/>
          <w:sz w:val="22"/>
          <w:szCs w:val="22"/>
        </w:rPr>
        <w:t xml:space="preserve">U </w:t>
      </w:r>
      <w:r w:rsidR="00D66EA0" w:rsidRPr="002A66DF">
        <w:rPr>
          <w:rFonts w:ascii="Tahoma" w:hAnsi="Tahoma" w:cs="Tahoma"/>
          <w:sz w:val="22"/>
          <w:szCs w:val="22"/>
        </w:rPr>
        <w:t>razdoblju siječanj-prosinac 2023</w:t>
      </w:r>
      <w:r w:rsidRPr="002A66DF">
        <w:rPr>
          <w:rFonts w:ascii="Tahoma" w:hAnsi="Tahoma" w:cs="Tahoma"/>
          <w:sz w:val="22"/>
          <w:szCs w:val="22"/>
        </w:rPr>
        <w:t xml:space="preserve">. godine </w:t>
      </w:r>
      <w:r w:rsidRPr="002A66DF">
        <w:rPr>
          <w:rFonts w:ascii="Tahoma" w:hAnsi="Tahoma" w:cs="Tahoma"/>
          <w:sz w:val="22"/>
          <w:szCs w:val="22"/>
          <w:u w:val="single"/>
        </w:rPr>
        <w:t>rashodi za zaposlene (</w:t>
      </w:r>
      <w:r w:rsidR="00A2494F" w:rsidRPr="002A66DF">
        <w:rPr>
          <w:rFonts w:ascii="Tahoma" w:hAnsi="Tahoma" w:cs="Tahoma"/>
          <w:b/>
          <w:sz w:val="22"/>
          <w:szCs w:val="22"/>
          <w:u w:val="single"/>
        </w:rPr>
        <w:t>Š</w:t>
      </w:r>
      <w:r w:rsidRPr="002A66DF">
        <w:rPr>
          <w:rFonts w:ascii="Tahoma" w:hAnsi="Tahoma" w:cs="Tahoma"/>
          <w:b/>
          <w:sz w:val="22"/>
          <w:szCs w:val="22"/>
          <w:u w:val="single"/>
        </w:rPr>
        <w:t>ifra 31</w:t>
      </w:r>
      <w:r w:rsidRPr="002A66DF">
        <w:rPr>
          <w:rFonts w:ascii="Tahoma" w:hAnsi="Tahoma" w:cs="Tahoma"/>
          <w:sz w:val="22"/>
          <w:szCs w:val="22"/>
          <w:u w:val="single"/>
        </w:rPr>
        <w:t>)</w:t>
      </w:r>
      <w:r w:rsidRPr="002A66DF">
        <w:rPr>
          <w:rFonts w:ascii="Tahoma" w:hAnsi="Tahoma" w:cs="Tahoma"/>
          <w:sz w:val="22"/>
          <w:szCs w:val="22"/>
        </w:rPr>
        <w:t xml:space="preserve"> ostvareni su u iznosu od </w:t>
      </w:r>
      <w:r w:rsidR="00EA2E0B" w:rsidRPr="002A66DF">
        <w:rPr>
          <w:rFonts w:ascii="Tahoma" w:hAnsi="Tahoma" w:cs="Tahoma"/>
          <w:sz w:val="22"/>
          <w:szCs w:val="22"/>
        </w:rPr>
        <w:t>179.236.642 EUR</w:t>
      </w:r>
      <w:r w:rsidR="00B66B3A" w:rsidRPr="002A66DF">
        <w:rPr>
          <w:rFonts w:ascii="Tahoma" w:hAnsi="Tahoma" w:cs="Tahoma"/>
          <w:sz w:val="22"/>
          <w:szCs w:val="22"/>
        </w:rPr>
        <w:t xml:space="preserve"> što je za 15,3</w:t>
      </w:r>
      <w:r w:rsidRPr="002A66DF">
        <w:rPr>
          <w:rFonts w:ascii="Tahoma" w:hAnsi="Tahoma" w:cs="Tahoma"/>
          <w:sz w:val="22"/>
          <w:szCs w:val="22"/>
        </w:rPr>
        <w:t>% više</w:t>
      </w:r>
      <w:r w:rsidR="00B66B3A" w:rsidRPr="002A66DF">
        <w:rPr>
          <w:rFonts w:ascii="Tahoma" w:hAnsi="Tahoma" w:cs="Tahoma"/>
          <w:sz w:val="22"/>
          <w:szCs w:val="22"/>
        </w:rPr>
        <w:t xml:space="preserve"> u odnosu na isto razdoblje 2022</w:t>
      </w:r>
      <w:r w:rsidRPr="002A66DF">
        <w:rPr>
          <w:rFonts w:ascii="Tahoma" w:hAnsi="Tahoma" w:cs="Tahoma"/>
          <w:sz w:val="22"/>
          <w:szCs w:val="22"/>
        </w:rPr>
        <w:t>. godine.</w:t>
      </w:r>
    </w:p>
    <w:p w:rsidR="003877E3" w:rsidRPr="002A66DF" w:rsidRDefault="003877E3" w:rsidP="003877E3">
      <w:pPr>
        <w:jc w:val="both"/>
        <w:rPr>
          <w:rFonts w:ascii="Tahoma" w:hAnsi="Tahoma" w:cs="Tahoma"/>
          <w:sz w:val="22"/>
          <w:szCs w:val="22"/>
        </w:rPr>
      </w:pPr>
    </w:p>
    <w:tbl>
      <w:tblPr>
        <w:tblStyle w:val="TableGrid"/>
        <w:tblW w:w="0" w:type="auto"/>
        <w:tblInd w:w="-5" w:type="dxa"/>
        <w:tblLook w:val="04A0" w:firstRow="1" w:lastRow="0" w:firstColumn="1" w:lastColumn="0" w:noHBand="0" w:noVBand="1"/>
      </w:tblPr>
      <w:tblGrid>
        <w:gridCol w:w="2665"/>
        <w:gridCol w:w="2155"/>
        <w:gridCol w:w="1984"/>
        <w:gridCol w:w="2410"/>
      </w:tblGrid>
      <w:tr w:rsidR="003877E3" w:rsidRPr="002A66DF" w:rsidTr="00222CA9">
        <w:trPr>
          <w:trHeight w:val="609"/>
        </w:trPr>
        <w:tc>
          <w:tcPr>
            <w:tcW w:w="2665" w:type="dxa"/>
            <w:vMerge w:val="restart"/>
            <w:vAlign w:val="center"/>
          </w:tcPr>
          <w:p w:rsidR="003877E3" w:rsidRPr="002A66DF" w:rsidRDefault="003877E3" w:rsidP="00D66EA0">
            <w:pPr>
              <w:ind w:right="-41" w:hanging="83"/>
              <w:jc w:val="center"/>
              <w:rPr>
                <w:rFonts w:ascii="Tahoma" w:hAnsi="Tahoma" w:cs="Tahoma"/>
                <w:b/>
                <w:sz w:val="22"/>
                <w:szCs w:val="22"/>
              </w:rPr>
            </w:pPr>
            <w:r w:rsidRPr="002A66DF">
              <w:rPr>
                <w:rFonts w:ascii="Tahoma" w:hAnsi="Tahoma" w:cs="Tahoma"/>
                <w:b/>
                <w:sz w:val="22"/>
                <w:szCs w:val="22"/>
              </w:rPr>
              <w:t>Rashodi za zaposlene</w:t>
            </w:r>
          </w:p>
        </w:tc>
        <w:tc>
          <w:tcPr>
            <w:tcW w:w="2155" w:type="dxa"/>
            <w:vAlign w:val="center"/>
          </w:tcPr>
          <w:p w:rsidR="003877E3" w:rsidRPr="002A66DF" w:rsidRDefault="003877E3" w:rsidP="00222CA9">
            <w:pPr>
              <w:jc w:val="center"/>
              <w:rPr>
                <w:rFonts w:ascii="Tahoma" w:hAnsi="Tahoma" w:cs="Tahoma"/>
                <w:b/>
                <w:sz w:val="22"/>
                <w:szCs w:val="22"/>
              </w:rPr>
            </w:pPr>
            <w:r w:rsidRPr="002A66DF">
              <w:rPr>
                <w:rFonts w:ascii="Tahoma" w:hAnsi="Tahoma" w:cs="Tahoma"/>
                <w:b/>
                <w:sz w:val="22"/>
                <w:szCs w:val="22"/>
              </w:rPr>
              <w:t>Izvršenje</w:t>
            </w:r>
          </w:p>
          <w:p w:rsidR="003877E3" w:rsidRPr="002A66DF" w:rsidRDefault="003877E3" w:rsidP="00222CA9">
            <w:pPr>
              <w:jc w:val="center"/>
              <w:rPr>
                <w:rFonts w:ascii="Tahoma" w:hAnsi="Tahoma" w:cs="Tahoma"/>
                <w:b/>
                <w:sz w:val="22"/>
                <w:szCs w:val="22"/>
              </w:rPr>
            </w:pPr>
            <w:r w:rsidRPr="002A66DF">
              <w:rPr>
                <w:rFonts w:ascii="Tahoma" w:hAnsi="Tahoma" w:cs="Tahoma"/>
                <w:b/>
                <w:sz w:val="22"/>
                <w:szCs w:val="22"/>
              </w:rPr>
              <w:t>202</w:t>
            </w:r>
            <w:r w:rsidR="00D66EA0" w:rsidRPr="002A66DF">
              <w:rPr>
                <w:rFonts w:ascii="Tahoma" w:hAnsi="Tahoma" w:cs="Tahoma"/>
                <w:b/>
                <w:sz w:val="22"/>
                <w:szCs w:val="22"/>
              </w:rPr>
              <w:t>2</w:t>
            </w:r>
          </w:p>
        </w:tc>
        <w:tc>
          <w:tcPr>
            <w:tcW w:w="1984" w:type="dxa"/>
            <w:vAlign w:val="center"/>
          </w:tcPr>
          <w:p w:rsidR="003877E3" w:rsidRPr="002A66DF" w:rsidRDefault="003877E3" w:rsidP="00222CA9">
            <w:pPr>
              <w:jc w:val="center"/>
              <w:rPr>
                <w:rFonts w:ascii="Tahoma" w:hAnsi="Tahoma" w:cs="Tahoma"/>
                <w:b/>
                <w:sz w:val="22"/>
                <w:szCs w:val="22"/>
              </w:rPr>
            </w:pPr>
            <w:r w:rsidRPr="002A66DF">
              <w:rPr>
                <w:rFonts w:ascii="Tahoma" w:hAnsi="Tahoma" w:cs="Tahoma"/>
                <w:b/>
                <w:sz w:val="22"/>
                <w:szCs w:val="22"/>
              </w:rPr>
              <w:t xml:space="preserve">Izvršenje    </w:t>
            </w:r>
          </w:p>
          <w:p w:rsidR="003877E3" w:rsidRPr="002A66DF" w:rsidRDefault="003877E3" w:rsidP="00222CA9">
            <w:pPr>
              <w:jc w:val="center"/>
              <w:rPr>
                <w:rFonts w:ascii="Tahoma" w:hAnsi="Tahoma" w:cs="Tahoma"/>
                <w:b/>
                <w:sz w:val="22"/>
                <w:szCs w:val="22"/>
              </w:rPr>
            </w:pPr>
            <w:r w:rsidRPr="002A66DF">
              <w:rPr>
                <w:rFonts w:ascii="Tahoma" w:hAnsi="Tahoma" w:cs="Tahoma"/>
                <w:b/>
                <w:sz w:val="22"/>
                <w:szCs w:val="22"/>
              </w:rPr>
              <w:t>202</w:t>
            </w:r>
            <w:r w:rsidR="00D66EA0" w:rsidRPr="002A66DF">
              <w:rPr>
                <w:rFonts w:ascii="Tahoma" w:hAnsi="Tahoma" w:cs="Tahoma"/>
                <w:b/>
                <w:sz w:val="22"/>
                <w:szCs w:val="22"/>
              </w:rPr>
              <w:t>3</w:t>
            </w:r>
          </w:p>
        </w:tc>
        <w:tc>
          <w:tcPr>
            <w:tcW w:w="2410" w:type="dxa"/>
            <w:vAlign w:val="center"/>
          </w:tcPr>
          <w:p w:rsidR="003877E3" w:rsidRPr="002A66DF" w:rsidRDefault="003877E3" w:rsidP="00222CA9">
            <w:pPr>
              <w:jc w:val="center"/>
              <w:rPr>
                <w:rFonts w:ascii="Tahoma" w:hAnsi="Tahoma" w:cs="Tahoma"/>
                <w:b/>
                <w:sz w:val="22"/>
                <w:szCs w:val="22"/>
              </w:rPr>
            </w:pPr>
            <w:r w:rsidRPr="002A66DF">
              <w:rPr>
                <w:rFonts w:ascii="Tahoma" w:hAnsi="Tahoma" w:cs="Tahoma"/>
                <w:b/>
                <w:sz w:val="22"/>
                <w:szCs w:val="22"/>
              </w:rPr>
              <w:t>Indeks</w:t>
            </w:r>
          </w:p>
          <w:p w:rsidR="003877E3" w:rsidRPr="002A66DF" w:rsidRDefault="00D66EA0" w:rsidP="00222CA9">
            <w:pPr>
              <w:jc w:val="center"/>
              <w:rPr>
                <w:rFonts w:ascii="Tahoma" w:hAnsi="Tahoma" w:cs="Tahoma"/>
                <w:b/>
                <w:sz w:val="22"/>
                <w:szCs w:val="22"/>
              </w:rPr>
            </w:pPr>
            <w:r w:rsidRPr="002A66DF">
              <w:rPr>
                <w:rFonts w:ascii="Tahoma" w:hAnsi="Tahoma" w:cs="Tahoma"/>
                <w:b/>
                <w:sz w:val="22"/>
                <w:szCs w:val="22"/>
              </w:rPr>
              <w:t>2023/2022</w:t>
            </w:r>
          </w:p>
        </w:tc>
      </w:tr>
      <w:tr w:rsidR="003877E3" w:rsidRPr="002A66DF" w:rsidTr="00222CA9">
        <w:trPr>
          <w:trHeight w:val="447"/>
        </w:trPr>
        <w:tc>
          <w:tcPr>
            <w:tcW w:w="2665" w:type="dxa"/>
            <w:vMerge/>
          </w:tcPr>
          <w:p w:rsidR="003877E3" w:rsidRPr="002A66DF" w:rsidRDefault="003877E3" w:rsidP="00222CA9">
            <w:pPr>
              <w:jc w:val="both"/>
              <w:rPr>
                <w:rFonts w:ascii="Tahoma" w:hAnsi="Tahoma" w:cs="Tahoma"/>
                <w:b/>
                <w:sz w:val="22"/>
                <w:szCs w:val="22"/>
              </w:rPr>
            </w:pPr>
          </w:p>
        </w:tc>
        <w:tc>
          <w:tcPr>
            <w:tcW w:w="2155" w:type="dxa"/>
            <w:vAlign w:val="center"/>
          </w:tcPr>
          <w:p w:rsidR="003877E3" w:rsidRPr="002A66DF" w:rsidRDefault="00B66B3A" w:rsidP="00222CA9">
            <w:pPr>
              <w:jc w:val="right"/>
              <w:rPr>
                <w:rFonts w:ascii="Tahoma" w:hAnsi="Tahoma" w:cs="Tahoma"/>
                <w:b/>
                <w:sz w:val="22"/>
                <w:szCs w:val="22"/>
              </w:rPr>
            </w:pPr>
            <w:r w:rsidRPr="002A66DF">
              <w:rPr>
                <w:rFonts w:ascii="Tahoma" w:hAnsi="Tahoma" w:cs="Tahoma"/>
                <w:b/>
                <w:sz w:val="22"/>
                <w:szCs w:val="22"/>
              </w:rPr>
              <w:t>155.415.475</w:t>
            </w:r>
          </w:p>
        </w:tc>
        <w:tc>
          <w:tcPr>
            <w:tcW w:w="1984" w:type="dxa"/>
            <w:vAlign w:val="center"/>
          </w:tcPr>
          <w:p w:rsidR="003877E3" w:rsidRPr="002A66DF" w:rsidRDefault="00B66B3A" w:rsidP="00222CA9">
            <w:pPr>
              <w:jc w:val="right"/>
              <w:rPr>
                <w:rFonts w:ascii="Tahoma" w:hAnsi="Tahoma" w:cs="Tahoma"/>
                <w:b/>
                <w:sz w:val="22"/>
                <w:szCs w:val="22"/>
              </w:rPr>
            </w:pPr>
            <w:r w:rsidRPr="002A66DF">
              <w:rPr>
                <w:rFonts w:ascii="Tahoma" w:hAnsi="Tahoma" w:cs="Tahoma"/>
                <w:b/>
                <w:sz w:val="22"/>
                <w:szCs w:val="22"/>
              </w:rPr>
              <w:t>179.236.642</w:t>
            </w:r>
          </w:p>
        </w:tc>
        <w:tc>
          <w:tcPr>
            <w:tcW w:w="2410" w:type="dxa"/>
            <w:vAlign w:val="center"/>
          </w:tcPr>
          <w:p w:rsidR="003877E3" w:rsidRPr="002A66DF" w:rsidRDefault="00B66B3A" w:rsidP="00222CA9">
            <w:pPr>
              <w:jc w:val="right"/>
              <w:rPr>
                <w:rFonts w:ascii="Tahoma" w:hAnsi="Tahoma" w:cs="Tahoma"/>
                <w:b/>
                <w:sz w:val="22"/>
                <w:szCs w:val="22"/>
              </w:rPr>
            </w:pPr>
            <w:r w:rsidRPr="002A66DF">
              <w:rPr>
                <w:rFonts w:ascii="Tahoma" w:hAnsi="Tahoma" w:cs="Tahoma"/>
                <w:b/>
                <w:sz w:val="22"/>
                <w:szCs w:val="22"/>
              </w:rPr>
              <w:t>1,15</w:t>
            </w:r>
          </w:p>
        </w:tc>
      </w:tr>
    </w:tbl>
    <w:p w:rsidR="003877E3" w:rsidRPr="002A66DF" w:rsidRDefault="003877E3" w:rsidP="003877E3">
      <w:pPr>
        <w:jc w:val="both"/>
        <w:rPr>
          <w:rFonts w:ascii="Tahoma" w:hAnsi="Tahoma" w:cs="Tahoma"/>
          <w:sz w:val="22"/>
          <w:szCs w:val="22"/>
        </w:rPr>
      </w:pPr>
    </w:p>
    <w:p w:rsidR="00772E12" w:rsidRPr="002A66DF" w:rsidRDefault="00772E12" w:rsidP="00772E12">
      <w:pPr>
        <w:jc w:val="both"/>
        <w:rPr>
          <w:rFonts w:ascii="Tahoma" w:hAnsi="Tahoma" w:cs="Tahoma"/>
          <w:sz w:val="22"/>
          <w:szCs w:val="22"/>
        </w:rPr>
      </w:pPr>
      <w:bookmarkStart w:id="1" w:name="_Hlk107391354"/>
      <w:r w:rsidRPr="002A66DF">
        <w:rPr>
          <w:rFonts w:ascii="Tahoma" w:hAnsi="Tahoma" w:cs="Tahoma"/>
          <w:sz w:val="22"/>
          <w:szCs w:val="22"/>
        </w:rPr>
        <w:t>Povećanje rashoda za zaposlene uzrokovano je povećanjem osnovice za obračun plaća za 2% u travnju 2023. sukladno Dodatku I Temeljnom kolektivnom ugovoru za službenike i namještenike u javnim službama (NN 127/2022</w:t>
      </w:r>
      <w:bookmarkEnd w:id="1"/>
      <w:r w:rsidRPr="002A66DF">
        <w:rPr>
          <w:rFonts w:ascii="Tahoma" w:hAnsi="Tahoma" w:cs="Tahoma"/>
          <w:sz w:val="22"/>
          <w:szCs w:val="22"/>
        </w:rPr>
        <w:t xml:space="preserve">), povećanjem koeficijenata Uredbom o izmjenama i dopunama uredbe o nazivima radnih mjesta i koeficijentima složenosti poslova u javnim službama (NN 46/2023) u svibnju 2023., Odlukom o isplati privremenog dodatka na plaću državnim službenicima i namještenicima te službenicima i namještenicima u javnim službama (NN 65/2023) u lipnju 2023. te povećanjem osnovice za obračun plaća za 5% Dodatkom III Temeljnom kolektivnom ugovoru za službenike i namještenike u javnim službama (NN 128/2023) u listopadu 2023. </w:t>
      </w:r>
    </w:p>
    <w:p w:rsidR="00772E12" w:rsidRPr="002A66DF" w:rsidRDefault="00772E12" w:rsidP="00772E12">
      <w:pPr>
        <w:jc w:val="both"/>
        <w:rPr>
          <w:rFonts w:ascii="Tahoma" w:hAnsi="Tahoma" w:cs="Tahoma"/>
          <w:sz w:val="22"/>
          <w:szCs w:val="22"/>
        </w:rPr>
      </w:pPr>
    </w:p>
    <w:p w:rsidR="00772E12" w:rsidRPr="002A66DF" w:rsidRDefault="00772E12" w:rsidP="00772E12">
      <w:pPr>
        <w:jc w:val="both"/>
        <w:rPr>
          <w:rFonts w:ascii="Tahoma" w:hAnsi="Tahoma" w:cs="Tahoma"/>
          <w:sz w:val="22"/>
          <w:szCs w:val="22"/>
        </w:rPr>
      </w:pPr>
      <w:r w:rsidRPr="002A66DF">
        <w:rPr>
          <w:rFonts w:ascii="Tahoma" w:hAnsi="Tahoma" w:cs="Tahoma"/>
          <w:sz w:val="22"/>
          <w:szCs w:val="22"/>
        </w:rPr>
        <w:t xml:space="preserve">Od studenog 2020. u primjeni je Odluka o posebnoj nagradi radnicima u sustavu zdravstva koji obavljaju poslove vezane za pružanje zdravstvene skrbi pacijentima oboljelima od bolesti Covid-19 (NN 136/2020). </w:t>
      </w:r>
      <w:bookmarkStart w:id="2" w:name="_Hlk94085234"/>
      <w:r w:rsidRPr="002A66DF">
        <w:rPr>
          <w:rFonts w:ascii="Tahoma" w:hAnsi="Tahoma" w:cs="Tahoma"/>
          <w:sz w:val="22"/>
          <w:szCs w:val="22"/>
        </w:rPr>
        <w:t xml:space="preserve">Posebna nagrada za Covid-19 u razdoblju siječanj – prosinac 2023. godine isplaćena je u iznosu od </w:t>
      </w:r>
      <w:r w:rsidR="006255BB" w:rsidRPr="002A66DF">
        <w:rPr>
          <w:rFonts w:ascii="Tahoma" w:hAnsi="Tahoma" w:cs="Tahoma"/>
          <w:sz w:val="22"/>
          <w:szCs w:val="22"/>
        </w:rPr>
        <w:t>982</w:t>
      </w:r>
      <w:r w:rsidRPr="002A66DF">
        <w:rPr>
          <w:rFonts w:ascii="Tahoma" w:hAnsi="Tahoma" w:cs="Tahoma"/>
          <w:sz w:val="22"/>
          <w:szCs w:val="22"/>
        </w:rPr>
        <w:t>.</w:t>
      </w:r>
      <w:r w:rsidR="006255BB" w:rsidRPr="002A66DF">
        <w:rPr>
          <w:rFonts w:ascii="Tahoma" w:hAnsi="Tahoma" w:cs="Tahoma"/>
          <w:sz w:val="22"/>
          <w:szCs w:val="22"/>
        </w:rPr>
        <w:t>975</w:t>
      </w:r>
      <w:r w:rsidRPr="002A66DF">
        <w:rPr>
          <w:rFonts w:ascii="Tahoma" w:hAnsi="Tahoma" w:cs="Tahoma"/>
          <w:sz w:val="22"/>
          <w:szCs w:val="22"/>
        </w:rPr>
        <w:t xml:space="preserve"> EUR. </w:t>
      </w:r>
      <w:bookmarkEnd w:id="2"/>
      <w:r w:rsidRPr="002A66DF">
        <w:rPr>
          <w:rFonts w:ascii="Tahoma" w:hAnsi="Tahoma" w:cs="Tahoma"/>
          <w:sz w:val="22"/>
          <w:szCs w:val="22"/>
        </w:rPr>
        <w:t xml:space="preserve">U </w:t>
      </w:r>
      <w:r w:rsidR="00EF58D4" w:rsidRPr="002A66DF">
        <w:rPr>
          <w:rFonts w:ascii="Tahoma" w:hAnsi="Tahoma" w:cs="Tahoma"/>
          <w:sz w:val="22"/>
          <w:szCs w:val="22"/>
        </w:rPr>
        <w:t>razdoblju siječanj - prosinac</w:t>
      </w:r>
      <w:r w:rsidRPr="002A66DF">
        <w:rPr>
          <w:rFonts w:ascii="Tahoma" w:hAnsi="Tahoma" w:cs="Tahoma"/>
          <w:sz w:val="22"/>
          <w:szCs w:val="22"/>
        </w:rPr>
        <w:t xml:space="preserve"> 2023. godine na ime plaća po pravomoćnim drugostupanjskim sudskim presudama u pokrenutim radnim sporovima isplaćen je iznos od </w:t>
      </w:r>
      <w:r w:rsidR="00EF58D4" w:rsidRPr="002A66DF">
        <w:rPr>
          <w:rFonts w:ascii="Tahoma" w:hAnsi="Tahoma" w:cs="Tahoma"/>
          <w:sz w:val="22"/>
          <w:szCs w:val="22"/>
        </w:rPr>
        <w:t xml:space="preserve">2.158.380 </w:t>
      </w:r>
      <w:r w:rsidRPr="002A66DF">
        <w:rPr>
          <w:rFonts w:ascii="Tahoma" w:hAnsi="Tahoma" w:cs="Tahoma"/>
          <w:sz w:val="22"/>
          <w:szCs w:val="22"/>
        </w:rPr>
        <w:t xml:space="preserve">EUR. </w:t>
      </w:r>
      <w:r w:rsidRPr="00424D64">
        <w:rPr>
          <w:rFonts w:ascii="Tahoma" w:hAnsi="Tahoma" w:cs="Tahoma"/>
          <w:sz w:val="22"/>
          <w:szCs w:val="22"/>
        </w:rPr>
        <w:t>Priv</w:t>
      </w:r>
      <w:r w:rsidR="00241EA4" w:rsidRPr="00424D64">
        <w:rPr>
          <w:rFonts w:ascii="Tahoma" w:hAnsi="Tahoma" w:cs="Tahoma"/>
          <w:sz w:val="22"/>
          <w:szCs w:val="22"/>
        </w:rPr>
        <w:t>r</w:t>
      </w:r>
      <w:r w:rsidRPr="00424D64">
        <w:rPr>
          <w:rFonts w:ascii="Tahoma" w:hAnsi="Tahoma" w:cs="Tahoma"/>
          <w:sz w:val="22"/>
          <w:szCs w:val="22"/>
        </w:rPr>
        <w:t>emeni</w:t>
      </w:r>
      <w:r w:rsidRPr="002A66DF">
        <w:rPr>
          <w:rFonts w:ascii="Tahoma" w:hAnsi="Tahoma" w:cs="Tahoma"/>
          <w:sz w:val="22"/>
          <w:szCs w:val="22"/>
        </w:rPr>
        <w:t xml:space="preserve"> dodatak na plaću </w:t>
      </w:r>
      <w:r w:rsidR="009E5408" w:rsidRPr="002A66DF">
        <w:rPr>
          <w:rFonts w:ascii="Tahoma" w:hAnsi="Tahoma" w:cs="Tahoma"/>
          <w:sz w:val="22"/>
          <w:szCs w:val="22"/>
        </w:rPr>
        <w:t xml:space="preserve">u </w:t>
      </w:r>
      <w:r w:rsidRPr="002A66DF">
        <w:rPr>
          <w:rFonts w:ascii="Tahoma" w:hAnsi="Tahoma" w:cs="Tahoma"/>
          <w:sz w:val="22"/>
          <w:szCs w:val="22"/>
        </w:rPr>
        <w:t>2023.</w:t>
      </w:r>
      <w:r w:rsidR="009E5408" w:rsidRPr="002A66DF">
        <w:rPr>
          <w:rFonts w:ascii="Tahoma" w:hAnsi="Tahoma" w:cs="Tahoma"/>
          <w:sz w:val="22"/>
          <w:szCs w:val="22"/>
        </w:rPr>
        <w:t xml:space="preserve"> godini</w:t>
      </w:r>
      <w:r w:rsidRPr="002A66DF">
        <w:rPr>
          <w:rFonts w:ascii="Tahoma" w:hAnsi="Tahoma" w:cs="Tahoma"/>
          <w:sz w:val="22"/>
          <w:szCs w:val="22"/>
        </w:rPr>
        <w:t xml:space="preserve"> isplaćen je u iznosu od</w:t>
      </w:r>
      <w:r w:rsidR="009E5408" w:rsidRPr="002A66DF">
        <w:rPr>
          <w:rFonts w:ascii="Tahoma" w:hAnsi="Tahoma" w:cs="Tahoma"/>
          <w:sz w:val="22"/>
          <w:szCs w:val="22"/>
        </w:rPr>
        <w:t xml:space="preserve"> 4.481.635 EUR</w:t>
      </w:r>
      <w:r w:rsidRPr="002A66DF">
        <w:rPr>
          <w:rFonts w:ascii="Tahoma" w:hAnsi="Tahoma" w:cs="Tahoma"/>
          <w:sz w:val="22"/>
          <w:szCs w:val="22"/>
        </w:rPr>
        <w:t>.</w:t>
      </w:r>
    </w:p>
    <w:p w:rsidR="006211CB" w:rsidRPr="002A66DF" w:rsidRDefault="006211CB" w:rsidP="003877E3">
      <w:pPr>
        <w:jc w:val="both"/>
        <w:rPr>
          <w:rFonts w:ascii="Tahoma" w:hAnsi="Tahoma" w:cs="Tahoma"/>
          <w:sz w:val="22"/>
          <w:szCs w:val="22"/>
        </w:rPr>
      </w:pPr>
    </w:p>
    <w:p w:rsidR="003877E3" w:rsidRPr="002A66DF" w:rsidRDefault="00C55AAB" w:rsidP="00C55AAB">
      <w:pPr>
        <w:pStyle w:val="ListParagraph"/>
        <w:numPr>
          <w:ilvl w:val="1"/>
          <w:numId w:val="17"/>
        </w:numPr>
        <w:tabs>
          <w:tab w:val="left" w:pos="709"/>
        </w:tabs>
        <w:ind w:hanging="1080"/>
        <w:jc w:val="both"/>
        <w:rPr>
          <w:rFonts w:ascii="Tahoma" w:hAnsi="Tahoma" w:cs="Tahoma"/>
          <w:b/>
          <w:sz w:val="22"/>
          <w:szCs w:val="22"/>
        </w:rPr>
      </w:pPr>
      <w:r w:rsidRPr="002A66DF">
        <w:rPr>
          <w:rFonts w:ascii="Tahoma" w:hAnsi="Tahoma" w:cs="Tahoma"/>
          <w:b/>
          <w:sz w:val="22"/>
          <w:szCs w:val="22"/>
        </w:rPr>
        <w:t xml:space="preserve"> </w:t>
      </w:r>
      <w:r w:rsidR="003877E3" w:rsidRPr="002A66DF">
        <w:rPr>
          <w:rFonts w:ascii="Tahoma" w:hAnsi="Tahoma" w:cs="Tahoma"/>
          <w:b/>
          <w:sz w:val="22"/>
          <w:szCs w:val="22"/>
        </w:rPr>
        <w:t>MATERIJALNI RASHODI</w:t>
      </w:r>
    </w:p>
    <w:p w:rsidR="003877E3" w:rsidRPr="002A66DF" w:rsidRDefault="003877E3" w:rsidP="003877E3">
      <w:pPr>
        <w:jc w:val="both"/>
        <w:rPr>
          <w:rFonts w:ascii="Tahoma" w:hAnsi="Tahoma" w:cs="Tahoma"/>
          <w:b/>
          <w:sz w:val="22"/>
          <w:szCs w:val="22"/>
        </w:rPr>
      </w:pPr>
    </w:p>
    <w:p w:rsidR="003877E3" w:rsidRPr="004078C0" w:rsidRDefault="003877E3" w:rsidP="003877E3">
      <w:pPr>
        <w:jc w:val="both"/>
        <w:rPr>
          <w:rFonts w:ascii="Tahoma" w:hAnsi="Tahoma" w:cs="Tahoma"/>
          <w:sz w:val="22"/>
          <w:szCs w:val="22"/>
        </w:rPr>
      </w:pPr>
      <w:r w:rsidRPr="002A66DF">
        <w:rPr>
          <w:rFonts w:ascii="Tahoma" w:hAnsi="Tahoma" w:cs="Tahoma"/>
          <w:b/>
          <w:sz w:val="22"/>
          <w:szCs w:val="22"/>
          <w:u w:val="single"/>
        </w:rPr>
        <w:t>Materijalni rashodi (</w:t>
      </w:r>
      <w:r w:rsidR="004078C0" w:rsidRPr="002A66DF">
        <w:rPr>
          <w:rFonts w:ascii="Tahoma" w:hAnsi="Tahoma" w:cs="Tahoma"/>
          <w:b/>
          <w:sz w:val="22"/>
          <w:szCs w:val="22"/>
          <w:u w:val="single"/>
        </w:rPr>
        <w:t>Š</w:t>
      </w:r>
      <w:r w:rsidRPr="002A66DF">
        <w:rPr>
          <w:rFonts w:ascii="Tahoma" w:hAnsi="Tahoma" w:cs="Tahoma"/>
          <w:b/>
          <w:sz w:val="22"/>
          <w:szCs w:val="22"/>
          <w:u w:val="single"/>
        </w:rPr>
        <w:t>ifra 32)</w:t>
      </w:r>
      <w:r w:rsidRPr="002A66DF">
        <w:rPr>
          <w:rFonts w:ascii="Tahoma" w:hAnsi="Tahoma" w:cs="Tahoma"/>
          <w:sz w:val="22"/>
          <w:szCs w:val="22"/>
        </w:rPr>
        <w:t xml:space="preserve"> prema proračunskom računovodstvu u </w:t>
      </w:r>
      <w:r w:rsidR="0080568B" w:rsidRPr="002A66DF">
        <w:rPr>
          <w:rFonts w:ascii="Tahoma" w:hAnsi="Tahoma" w:cs="Tahoma"/>
          <w:sz w:val="22"/>
          <w:szCs w:val="22"/>
        </w:rPr>
        <w:t>razdoblju siječanj-prosinac 2023</w:t>
      </w:r>
      <w:r w:rsidRPr="002A66DF">
        <w:rPr>
          <w:rFonts w:ascii="Tahoma" w:hAnsi="Tahoma" w:cs="Tahoma"/>
          <w:sz w:val="22"/>
          <w:szCs w:val="22"/>
        </w:rPr>
        <w:t xml:space="preserve">. godine ostvareni su u iznosu od </w:t>
      </w:r>
      <w:r w:rsidR="00F31EA8" w:rsidRPr="002A66DF">
        <w:rPr>
          <w:rFonts w:ascii="Tahoma" w:hAnsi="Tahoma" w:cs="Tahoma"/>
          <w:sz w:val="22"/>
          <w:szCs w:val="22"/>
        </w:rPr>
        <w:t xml:space="preserve">357.404.969 EUR </w:t>
      </w:r>
      <w:r w:rsidRPr="002A66DF">
        <w:rPr>
          <w:rFonts w:ascii="Tahoma" w:hAnsi="Tahoma" w:cs="Tahoma"/>
          <w:sz w:val="22"/>
          <w:szCs w:val="22"/>
        </w:rPr>
        <w:t>što je za 8,6% više u odnosu na isto razdoblje prethodne godine.</w:t>
      </w:r>
    </w:p>
    <w:p w:rsidR="003877E3" w:rsidRPr="004078C0" w:rsidRDefault="003877E3" w:rsidP="003877E3">
      <w:pPr>
        <w:jc w:val="both"/>
        <w:rPr>
          <w:rFonts w:ascii="Tahoma" w:hAnsi="Tahoma" w:cs="Tahoma"/>
          <w:sz w:val="22"/>
          <w:szCs w:val="22"/>
        </w:rPr>
      </w:pPr>
    </w:p>
    <w:tbl>
      <w:tblPr>
        <w:tblStyle w:val="TableGrid"/>
        <w:tblW w:w="9639" w:type="dxa"/>
        <w:tblInd w:w="-5" w:type="dxa"/>
        <w:tblLook w:val="04A0" w:firstRow="1" w:lastRow="0" w:firstColumn="1" w:lastColumn="0" w:noHBand="0" w:noVBand="1"/>
      </w:tblPr>
      <w:tblGrid>
        <w:gridCol w:w="2552"/>
        <w:gridCol w:w="2268"/>
        <w:gridCol w:w="2268"/>
        <w:gridCol w:w="2551"/>
      </w:tblGrid>
      <w:tr w:rsidR="003877E3" w:rsidRPr="002A66DF" w:rsidTr="00222CA9">
        <w:trPr>
          <w:trHeight w:val="609"/>
        </w:trPr>
        <w:tc>
          <w:tcPr>
            <w:tcW w:w="2552" w:type="dxa"/>
            <w:vMerge w:val="restart"/>
            <w:vAlign w:val="center"/>
          </w:tcPr>
          <w:p w:rsidR="003877E3" w:rsidRPr="002A66DF" w:rsidRDefault="003877E3" w:rsidP="0080568B">
            <w:pPr>
              <w:ind w:right="-41"/>
              <w:jc w:val="center"/>
              <w:rPr>
                <w:rFonts w:ascii="Tahoma" w:hAnsi="Tahoma" w:cs="Tahoma"/>
                <w:b/>
                <w:sz w:val="22"/>
                <w:szCs w:val="22"/>
              </w:rPr>
            </w:pPr>
            <w:r w:rsidRPr="002A66DF">
              <w:rPr>
                <w:rFonts w:ascii="Tahoma" w:hAnsi="Tahoma" w:cs="Tahoma"/>
                <w:b/>
                <w:sz w:val="22"/>
                <w:szCs w:val="22"/>
              </w:rPr>
              <w:t>Materijalni rashodi</w:t>
            </w:r>
          </w:p>
        </w:tc>
        <w:tc>
          <w:tcPr>
            <w:tcW w:w="2268" w:type="dxa"/>
            <w:vAlign w:val="center"/>
          </w:tcPr>
          <w:p w:rsidR="003877E3" w:rsidRPr="002A66DF" w:rsidRDefault="003877E3" w:rsidP="00222CA9">
            <w:pPr>
              <w:jc w:val="center"/>
              <w:rPr>
                <w:rFonts w:ascii="Tahoma" w:hAnsi="Tahoma" w:cs="Tahoma"/>
                <w:b/>
                <w:sz w:val="22"/>
                <w:szCs w:val="22"/>
              </w:rPr>
            </w:pPr>
            <w:r w:rsidRPr="002A66DF">
              <w:rPr>
                <w:rFonts w:ascii="Tahoma" w:hAnsi="Tahoma" w:cs="Tahoma"/>
                <w:b/>
                <w:sz w:val="22"/>
                <w:szCs w:val="22"/>
              </w:rPr>
              <w:t>Izvršenje</w:t>
            </w:r>
          </w:p>
          <w:p w:rsidR="003877E3" w:rsidRPr="002A66DF" w:rsidRDefault="003877E3" w:rsidP="00222CA9">
            <w:pPr>
              <w:jc w:val="center"/>
              <w:rPr>
                <w:rFonts w:ascii="Tahoma" w:hAnsi="Tahoma" w:cs="Tahoma"/>
                <w:b/>
                <w:sz w:val="22"/>
                <w:szCs w:val="22"/>
              </w:rPr>
            </w:pPr>
            <w:r w:rsidRPr="002A66DF">
              <w:rPr>
                <w:rFonts w:ascii="Tahoma" w:hAnsi="Tahoma" w:cs="Tahoma"/>
                <w:b/>
                <w:sz w:val="22"/>
                <w:szCs w:val="22"/>
              </w:rPr>
              <w:t xml:space="preserve"> 202</w:t>
            </w:r>
            <w:r w:rsidR="0080568B" w:rsidRPr="002A66DF">
              <w:rPr>
                <w:rFonts w:ascii="Tahoma" w:hAnsi="Tahoma" w:cs="Tahoma"/>
                <w:b/>
                <w:sz w:val="22"/>
                <w:szCs w:val="22"/>
              </w:rPr>
              <w:t>2</w:t>
            </w:r>
          </w:p>
        </w:tc>
        <w:tc>
          <w:tcPr>
            <w:tcW w:w="2268" w:type="dxa"/>
            <w:vAlign w:val="center"/>
          </w:tcPr>
          <w:p w:rsidR="003877E3" w:rsidRPr="002A66DF" w:rsidRDefault="003877E3" w:rsidP="00222CA9">
            <w:pPr>
              <w:jc w:val="center"/>
              <w:rPr>
                <w:rFonts w:ascii="Tahoma" w:hAnsi="Tahoma" w:cs="Tahoma"/>
                <w:b/>
                <w:sz w:val="22"/>
                <w:szCs w:val="22"/>
              </w:rPr>
            </w:pPr>
            <w:r w:rsidRPr="002A66DF">
              <w:rPr>
                <w:rFonts w:ascii="Tahoma" w:hAnsi="Tahoma" w:cs="Tahoma"/>
                <w:b/>
                <w:sz w:val="22"/>
                <w:szCs w:val="22"/>
              </w:rPr>
              <w:t xml:space="preserve">Izvršenje </w:t>
            </w:r>
          </w:p>
          <w:p w:rsidR="003877E3" w:rsidRPr="002A66DF" w:rsidRDefault="003877E3" w:rsidP="00222CA9">
            <w:pPr>
              <w:jc w:val="center"/>
              <w:rPr>
                <w:rFonts w:ascii="Tahoma" w:hAnsi="Tahoma" w:cs="Tahoma"/>
                <w:b/>
                <w:sz w:val="22"/>
                <w:szCs w:val="22"/>
              </w:rPr>
            </w:pPr>
            <w:r w:rsidRPr="002A66DF">
              <w:rPr>
                <w:rFonts w:ascii="Tahoma" w:hAnsi="Tahoma" w:cs="Tahoma"/>
                <w:b/>
                <w:sz w:val="22"/>
                <w:szCs w:val="22"/>
              </w:rPr>
              <w:t>202</w:t>
            </w:r>
            <w:r w:rsidR="0080568B" w:rsidRPr="002A66DF">
              <w:rPr>
                <w:rFonts w:ascii="Tahoma" w:hAnsi="Tahoma" w:cs="Tahoma"/>
                <w:b/>
                <w:sz w:val="22"/>
                <w:szCs w:val="22"/>
              </w:rPr>
              <w:t>3</w:t>
            </w:r>
          </w:p>
        </w:tc>
        <w:tc>
          <w:tcPr>
            <w:tcW w:w="2551" w:type="dxa"/>
            <w:vAlign w:val="center"/>
          </w:tcPr>
          <w:p w:rsidR="003877E3" w:rsidRPr="002A66DF" w:rsidRDefault="003877E3" w:rsidP="00222CA9">
            <w:pPr>
              <w:jc w:val="center"/>
              <w:rPr>
                <w:rFonts w:ascii="Tahoma" w:hAnsi="Tahoma" w:cs="Tahoma"/>
                <w:b/>
                <w:sz w:val="22"/>
                <w:szCs w:val="22"/>
              </w:rPr>
            </w:pPr>
            <w:r w:rsidRPr="002A66DF">
              <w:rPr>
                <w:rFonts w:ascii="Tahoma" w:hAnsi="Tahoma" w:cs="Tahoma"/>
                <w:b/>
                <w:sz w:val="22"/>
                <w:szCs w:val="22"/>
              </w:rPr>
              <w:t>Indeks</w:t>
            </w:r>
          </w:p>
          <w:p w:rsidR="003877E3" w:rsidRPr="002A66DF" w:rsidRDefault="0080568B" w:rsidP="00222CA9">
            <w:pPr>
              <w:jc w:val="center"/>
              <w:rPr>
                <w:rFonts w:ascii="Tahoma" w:hAnsi="Tahoma" w:cs="Tahoma"/>
                <w:b/>
                <w:sz w:val="22"/>
                <w:szCs w:val="22"/>
              </w:rPr>
            </w:pPr>
            <w:r w:rsidRPr="002A66DF">
              <w:rPr>
                <w:rFonts w:ascii="Tahoma" w:hAnsi="Tahoma" w:cs="Tahoma"/>
                <w:b/>
                <w:sz w:val="22"/>
                <w:szCs w:val="22"/>
              </w:rPr>
              <w:t>2023/2022</w:t>
            </w:r>
          </w:p>
        </w:tc>
      </w:tr>
      <w:tr w:rsidR="003877E3" w:rsidRPr="002A66DF" w:rsidTr="00222CA9">
        <w:trPr>
          <w:trHeight w:val="447"/>
        </w:trPr>
        <w:tc>
          <w:tcPr>
            <w:tcW w:w="2552" w:type="dxa"/>
            <w:vMerge/>
          </w:tcPr>
          <w:p w:rsidR="003877E3" w:rsidRPr="002A66DF" w:rsidRDefault="003877E3" w:rsidP="00222CA9">
            <w:pPr>
              <w:jc w:val="both"/>
              <w:rPr>
                <w:rFonts w:ascii="Tahoma" w:hAnsi="Tahoma" w:cs="Tahoma"/>
                <w:b/>
                <w:sz w:val="22"/>
                <w:szCs w:val="22"/>
              </w:rPr>
            </w:pPr>
          </w:p>
        </w:tc>
        <w:tc>
          <w:tcPr>
            <w:tcW w:w="2268" w:type="dxa"/>
            <w:vAlign w:val="center"/>
          </w:tcPr>
          <w:p w:rsidR="003877E3" w:rsidRPr="002A66DF" w:rsidRDefault="00F31EA8" w:rsidP="00222CA9">
            <w:pPr>
              <w:jc w:val="right"/>
              <w:rPr>
                <w:rFonts w:ascii="Tahoma" w:hAnsi="Tahoma" w:cs="Tahoma"/>
                <w:b/>
                <w:sz w:val="22"/>
                <w:szCs w:val="22"/>
              </w:rPr>
            </w:pPr>
            <w:r w:rsidRPr="002A66DF">
              <w:rPr>
                <w:rFonts w:ascii="Tahoma" w:hAnsi="Tahoma" w:cs="Tahoma"/>
                <w:b/>
                <w:sz w:val="22"/>
                <w:szCs w:val="22"/>
              </w:rPr>
              <w:t>329.126.540</w:t>
            </w:r>
          </w:p>
        </w:tc>
        <w:tc>
          <w:tcPr>
            <w:tcW w:w="2268" w:type="dxa"/>
            <w:vAlign w:val="center"/>
          </w:tcPr>
          <w:p w:rsidR="003877E3" w:rsidRPr="002A66DF" w:rsidRDefault="00F31EA8" w:rsidP="00222CA9">
            <w:pPr>
              <w:jc w:val="right"/>
              <w:rPr>
                <w:rFonts w:ascii="Tahoma" w:hAnsi="Tahoma" w:cs="Tahoma"/>
                <w:b/>
                <w:sz w:val="22"/>
                <w:szCs w:val="22"/>
              </w:rPr>
            </w:pPr>
            <w:r w:rsidRPr="002A66DF">
              <w:rPr>
                <w:rFonts w:ascii="Tahoma" w:hAnsi="Tahoma" w:cs="Tahoma"/>
                <w:b/>
                <w:sz w:val="22"/>
                <w:szCs w:val="22"/>
              </w:rPr>
              <w:t>357.404.969</w:t>
            </w:r>
          </w:p>
        </w:tc>
        <w:tc>
          <w:tcPr>
            <w:tcW w:w="2551" w:type="dxa"/>
            <w:vAlign w:val="center"/>
          </w:tcPr>
          <w:p w:rsidR="003877E3" w:rsidRPr="002A66DF" w:rsidRDefault="003877E3" w:rsidP="00222CA9">
            <w:pPr>
              <w:jc w:val="right"/>
              <w:rPr>
                <w:rFonts w:ascii="Tahoma" w:hAnsi="Tahoma" w:cs="Tahoma"/>
                <w:b/>
                <w:sz w:val="22"/>
                <w:szCs w:val="22"/>
              </w:rPr>
            </w:pPr>
            <w:r w:rsidRPr="002A66DF">
              <w:rPr>
                <w:rFonts w:ascii="Tahoma" w:hAnsi="Tahoma" w:cs="Tahoma"/>
                <w:b/>
                <w:sz w:val="22"/>
                <w:szCs w:val="22"/>
              </w:rPr>
              <w:t>1,09</w:t>
            </w:r>
          </w:p>
        </w:tc>
      </w:tr>
    </w:tbl>
    <w:p w:rsidR="003877E3" w:rsidRPr="002A66DF" w:rsidRDefault="003877E3" w:rsidP="003877E3">
      <w:pPr>
        <w:jc w:val="both"/>
        <w:rPr>
          <w:rFonts w:ascii="Tahoma" w:hAnsi="Tahoma" w:cs="Tahoma"/>
          <w:sz w:val="22"/>
          <w:szCs w:val="22"/>
        </w:rPr>
      </w:pPr>
    </w:p>
    <w:p w:rsidR="003877E3" w:rsidRPr="002A66DF" w:rsidRDefault="003877E3" w:rsidP="003877E3">
      <w:pPr>
        <w:jc w:val="both"/>
        <w:rPr>
          <w:rFonts w:ascii="Tahoma" w:hAnsi="Tahoma" w:cs="Tahoma"/>
          <w:sz w:val="22"/>
          <w:szCs w:val="22"/>
        </w:rPr>
      </w:pPr>
      <w:r w:rsidRPr="002A66DF">
        <w:rPr>
          <w:rFonts w:ascii="Tahoma" w:hAnsi="Tahoma" w:cs="Tahoma"/>
          <w:sz w:val="22"/>
          <w:szCs w:val="22"/>
        </w:rPr>
        <w:t xml:space="preserve">Najveći udio u materijalnim rashodima odnosi se na potrošnju lijekova, medicinskog potrošnog materijala te krvi </w:t>
      </w:r>
      <w:r w:rsidR="00BE241C" w:rsidRPr="002A66DF">
        <w:rPr>
          <w:rFonts w:ascii="Tahoma" w:hAnsi="Tahoma" w:cs="Tahoma"/>
          <w:sz w:val="22"/>
          <w:szCs w:val="22"/>
        </w:rPr>
        <w:t>i krvnih pripravaka (88,4</w:t>
      </w:r>
      <w:r w:rsidRPr="002A66DF">
        <w:rPr>
          <w:rFonts w:ascii="Tahoma" w:hAnsi="Tahoma" w:cs="Tahoma"/>
          <w:sz w:val="22"/>
          <w:szCs w:val="22"/>
        </w:rPr>
        <w:t>%).</w:t>
      </w:r>
    </w:p>
    <w:p w:rsidR="003877E3" w:rsidRPr="002A66DF" w:rsidRDefault="003877E3" w:rsidP="003877E3">
      <w:pPr>
        <w:jc w:val="both"/>
        <w:rPr>
          <w:rFonts w:ascii="Tahoma" w:hAnsi="Tahoma" w:cs="Tahoma"/>
          <w:sz w:val="22"/>
          <w:szCs w:val="22"/>
        </w:rPr>
      </w:pPr>
    </w:p>
    <w:tbl>
      <w:tblPr>
        <w:tblStyle w:val="TableGrid"/>
        <w:tblW w:w="9639" w:type="dxa"/>
        <w:tblInd w:w="-5" w:type="dxa"/>
        <w:tblLook w:val="04A0" w:firstRow="1" w:lastRow="0" w:firstColumn="1" w:lastColumn="0" w:noHBand="0" w:noVBand="1"/>
      </w:tblPr>
      <w:tblGrid>
        <w:gridCol w:w="2552"/>
        <w:gridCol w:w="2268"/>
        <w:gridCol w:w="2268"/>
        <w:gridCol w:w="2551"/>
      </w:tblGrid>
      <w:tr w:rsidR="003877E3" w:rsidRPr="002A66DF" w:rsidTr="00222CA9">
        <w:trPr>
          <w:trHeight w:val="609"/>
        </w:trPr>
        <w:tc>
          <w:tcPr>
            <w:tcW w:w="2552" w:type="dxa"/>
            <w:vMerge w:val="restart"/>
            <w:vAlign w:val="center"/>
          </w:tcPr>
          <w:p w:rsidR="003877E3" w:rsidRPr="002A66DF" w:rsidRDefault="003877E3" w:rsidP="00997DCA">
            <w:pPr>
              <w:ind w:right="-41"/>
              <w:jc w:val="center"/>
              <w:rPr>
                <w:rFonts w:ascii="Tahoma" w:hAnsi="Tahoma" w:cs="Tahoma"/>
                <w:b/>
                <w:sz w:val="20"/>
                <w:szCs w:val="20"/>
              </w:rPr>
            </w:pPr>
            <w:r w:rsidRPr="002A66DF">
              <w:rPr>
                <w:rFonts w:ascii="Tahoma" w:hAnsi="Tahoma" w:cs="Tahoma"/>
                <w:b/>
                <w:sz w:val="20"/>
                <w:szCs w:val="20"/>
              </w:rPr>
              <w:t>Rashodi za lijekove, medicinski potrošni materijal i krv i krvne pripravke</w:t>
            </w:r>
          </w:p>
        </w:tc>
        <w:tc>
          <w:tcPr>
            <w:tcW w:w="2268" w:type="dxa"/>
            <w:vAlign w:val="center"/>
          </w:tcPr>
          <w:p w:rsidR="003877E3" w:rsidRPr="002A66DF" w:rsidRDefault="003877E3" w:rsidP="00222CA9">
            <w:pPr>
              <w:jc w:val="center"/>
              <w:rPr>
                <w:rFonts w:ascii="Tahoma" w:hAnsi="Tahoma" w:cs="Tahoma"/>
                <w:b/>
                <w:sz w:val="22"/>
                <w:szCs w:val="22"/>
              </w:rPr>
            </w:pPr>
            <w:r w:rsidRPr="002A66DF">
              <w:rPr>
                <w:rFonts w:ascii="Tahoma" w:hAnsi="Tahoma" w:cs="Tahoma"/>
                <w:b/>
                <w:sz w:val="22"/>
                <w:szCs w:val="22"/>
              </w:rPr>
              <w:t>Izvršenje</w:t>
            </w:r>
          </w:p>
          <w:p w:rsidR="003877E3" w:rsidRPr="002A66DF" w:rsidRDefault="003877E3" w:rsidP="00222CA9">
            <w:pPr>
              <w:jc w:val="center"/>
              <w:rPr>
                <w:rFonts w:ascii="Tahoma" w:hAnsi="Tahoma" w:cs="Tahoma"/>
                <w:b/>
                <w:sz w:val="22"/>
                <w:szCs w:val="22"/>
              </w:rPr>
            </w:pPr>
            <w:r w:rsidRPr="002A66DF">
              <w:rPr>
                <w:rFonts w:ascii="Tahoma" w:hAnsi="Tahoma" w:cs="Tahoma"/>
                <w:b/>
                <w:sz w:val="22"/>
                <w:szCs w:val="22"/>
              </w:rPr>
              <w:t>202</w:t>
            </w:r>
            <w:r w:rsidR="00BE241C" w:rsidRPr="002A66DF">
              <w:rPr>
                <w:rFonts w:ascii="Tahoma" w:hAnsi="Tahoma" w:cs="Tahoma"/>
                <w:b/>
                <w:sz w:val="22"/>
                <w:szCs w:val="22"/>
              </w:rPr>
              <w:t>2</w:t>
            </w:r>
          </w:p>
        </w:tc>
        <w:tc>
          <w:tcPr>
            <w:tcW w:w="2268" w:type="dxa"/>
            <w:vAlign w:val="center"/>
          </w:tcPr>
          <w:p w:rsidR="003877E3" w:rsidRPr="002A66DF" w:rsidRDefault="003877E3" w:rsidP="00222CA9">
            <w:pPr>
              <w:jc w:val="center"/>
              <w:rPr>
                <w:rFonts w:ascii="Tahoma" w:hAnsi="Tahoma" w:cs="Tahoma"/>
                <w:b/>
                <w:sz w:val="22"/>
                <w:szCs w:val="22"/>
              </w:rPr>
            </w:pPr>
            <w:r w:rsidRPr="002A66DF">
              <w:rPr>
                <w:rFonts w:ascii="Tahoma" w:hAnsi="Tahoma" w:cs="Tahoma"/>
                <w:b/>
                <w:sz w:val="22"/>
                <w:szCs w:val="22"/>
              </w:rPr>
              <w:t>Izvršenje</w:t>
            </w:r>
          </w:p>
          <w:p w:rsidR="003877E3" w:rsidRPr="002A66DF" w:rsidRDefault="003877E3" w:rsidP="00222CA9">
            <w:pPr>
              <w:jc w:val="center"/>
              <w:rPr>
                <w:rFonts w:ascii="Tahoma" w:hAnsi="Tahoma" w:cs="Tahoma"/>
                <w:b/>
                <w:sz w:val="22"/>
                <w:szCs w:val="22"/>
              </w:rPr>
            </w:pPr>
            <w:r w:rsidRPr="002A66DF">
              <w:rPr>
                <w:rFonts w:ascii="Tahoma" w:hAnsi="Tahoma" w:cs="Tahoma"/>
                <w:b/>
                <w:sz w:val="22"/>
                <w:szCs w:val="22"/>
              </w:rPr>
              <w:t>202</w:t>
            </w:r>
            <w:r w:rsidR="00BE241C" w:rsidRPr="002A66DF">
              <w:rPr>
                <w:rFonts w:ascii="Tahoma" w:hAnsi="Tahoma" w:cs="Tahoma"/>
                <w:b/>
                <w:sz w:val="22"/>
                <w:szCs w:val="22"/>
              </w:rPr>
              <w:t>3</w:t>
            </w:r>
          </w:p>
        </w:tc>
        <w:tc>
          <w:tcPr>
            <w:tcW w:w="2551" w:type="dxa"/>
            <w:vAlign w:val="center"/>
          </w:tcPr>
          <w:p w:rsidR="003877E3" w:rsidRPr="002A66DF" w:rsidRDefault="003877E3" w:rsidP="00222CA9">
            <w:pPr>
              <w:jc w:val="center"/>
              <w:rPr>
                <w:rFonts w:ascii="Tahoma" w:hAnsi="Tahoma" w:cs="Tahoma"/>
                <w:b/>
                <w:sz w:val="22"/>
                <w:szCs w:val="22"/>
              </w:rPr>
            </w:pPr>
            <w:r w:rsidRPr="002A66DF">
              <w:rPr>
                <w:rFonts w:ascii="Tahoma" w:hAnsi="Tahoma" w:cs="Tahoma"/>
                <w:b/>
                <w:sz w:val="22"/>
                <w:szCs w:val="22"/>
              </w:rPr>
              <w:t>Indeks</w:t>
            </w:r>
          </w:p>
          <w:p w:rsidR="003877E3" w:rsidRPr="002A66DF" w:rsidRDefault="00BE241C" w:rsidP="00222CA9">
            <w:pPr>
              <w:jc w:val="center"/>
              <w:rPr>
                <w:rFonts w:ascii="Tahoma" w:hAnsi="Tahoma" w:cs="Tahoma"/>
                <w:b/>
                <w:sz w:val="22"/>
                <w:szCs w:val="22"/>
              </w:rPr>
            </w:pPr>
            <w:r w:rsidRPr="002A66DF">
              <w:rPr>
                <w:rFonts w:ascii="Tahoma" w:hAnsi="Tahoma" w:cs="Tahoma"/>
                <w:b/>
                <w:sz w:val="22"/>
                <w:szCs w:val="22"/>
              </w:rPr>
              <w:t>2023</w:t>
            </w:r>
            <w:r w:rsidR="003877E3" w:rsidRPr="002A66DF">
              <w:rPr>
                <w:rFonts w:ascii="Tahoma" w:hAnsi="Tahoma" w:cs="Tahoma"/>
                <w:b/>
                <w:sz w:val="22"/>
                <w:szCs w:val="22"/>
              </w:rPr>
              <w:t>/202</w:t>
            </w:r>
            <w:r w:rsidRPr="002A66DF">
              <w:rPr>
                <w:rFonts w:ascii="Tahoma" w:hAnsi="Tahoma" w:cs="Tahoma"/>
                <w:b/>
                <w:sz w:val="22"/>
                <w:szCs w:val="22"/>
              </w:rPr>
              <w:t>2</w:t>
            </w:r>
          </w:p>
        </w:tc>
      </w:tr>
      <w:tr w:rsidR="003877E3" w:rsidRPr="002A66DF" w:rsidTr="00222CA9">
        <w:trPr>
          <w:trHeight w:val="447"/>
        </w:trPr>
        <w:tc>
          <w:tcPr>
            <w:tcW w:w="2552" w:type="dxa"/>
            <w:vMerge/>
          </w:tcPr>
          <w:p w:rsidR="003877E3" w:rsidRPr="002A66DF" w:rsidRDefault="003877E3" w:rsidP="00222CA9">
            <w:pPr>
              <w:jc w:val="both"/>
              <w:rPr>
                <w:rFonts w:ascii="Tahoma" w:hAnsi="Tahoma" w:cs="Tahoma"/>
                <w:b/>
                <w:sz w:val="22"/>
                <w:szCs w:val="22"/>
              </w:rPr>
            </w:pPr>
          </w:p>
        </w:tc>
        <w:tc>
          <w:tcPr>
            <w:tcW w:w="2268" w:type="dxa"/>
            <w:vAlign w:val="center"/>
          </w:tcPr>
          <w:p w:rsidR="003877E3" w:rsidRPr="002A66DF" w:rsidRDefault="00427FF6" w:rsidP="00222CA9">
            <w:pPr>
              <w:jc w:val="right"/>
              <w:rPr>
                <w:rFonts w:ascii="Tahoma" w:hAnsi="Tahoma" w:cs="Tahoma"/>
                <w:b/>
                <w:sz w:val="22"/>
                <w:szCs w:val="22"/>
              </w:rPr>
            </w:pPr>
            <w:r w:rsidRPr="002A66DF">
              <w:rPr>
                <w:rFonts w:ascii="Tahoma" w:hAnsi="Tahoma" w:cs="Tahoma"/>
                <w:b/>
                <w:sz w:val="22"/>
                <w:szCs w:val="22"/>
              </w:rPr>
              <w:t>289.367.322</w:t>
            </w:r>
          </w:p>
        </w:tc>
        <w:tc>
          <w:tcPr>
            <w:tcW w:w="2268" w:type="dxa"/>
            <w:vAlign w:val="center"/>
          </w:tcPr>
          <w:p w:rsidR="003877E3" w:rsidRPr="002A66DF" w:rsidRDefault="00427FF6" w:rsidP="00222CA9">
            <w:pPr>
              <w:jc w:val="right"/>
              <w:rPr>
                <w:rFonts w:ascii="Tahoma" w:hAnsi="Tahoma" w:cs="Tahoma"/>
                <w:b/>
                <w:sz w:val="22"/>
                <w:szCs w:val="22"/>
              </w:rPr>
            </w:pPr>
            <w:r w:rsidRPr="002A66DF">
              <w:rPr>
                <w:rFonts w:ascii="Tahoma" w:hAnsi="Tahoma" w:cs="Tahoma"/>
                <w:b/>
                <w:sz w:val="22"/>
                <w:szCs w:val="22"/>
              </w:rPr>
              <w:t>316.065.911</w:t>
            </w:r>
          </w:p>
        </w:tc>
        <w:tc>
          <w:tcPr>
            <w:tcW w:w="2551" w:type="dxa"/>
            <w:vAlign w:val="center"/>
          </w:tcPr>
          <w:p w:rsidR="003877E3" w:rsidRPr="002A66DF" w:rsidRDefault="003877E3" w:rsidP="00222CA9">
            <w:pPr>
              <w:jc w:val="right"/>
              <w:rPr>
                <w:rFonts w:ascii="Tahoma" w:hAnsi="Tahoma" w:cs="Tahoma"/>
                <w:b/>
                <w:sz w:val="22"/>
                <w:szCs w:val="22"/>
              </w:rPr>
            </w:pPr>
            <w:r w:rsidRPr="002A66DF">
              <w:rPr>
                <w:rFonts w:ascii="Tahoma" w:hAnsi="Tahoma" w:cs="Tahoma"/>
                <w:b/>
                <w:sz w:val="22"/>
                <w:szCs w:val="22"/>
              </w:rPr>
              <w:t>1,09</w:t>
            </w:r>
          </w:p>
        </w:tc>
      </w:tr>
    </w:tbl>
    <w:p w:rsidR="00383395" w:rsidRPr="002A66DF" w:rsidRDefault="00383395" w:rsidP="003877E3">
      <w:pPr>
        <w:jc w:val="both"/>
        <w:rPr>
          <w:rFonts w:ascii="Tahoma" w:hAnsi="Tahoma" w:cs="Tahoma"/>
          <w:bCs/>
          <w:sz w:val="22"/>
          <w:szCs w:val="22"/>
        </w:rPr>
      </w:pPr>
    </w:p>
    <w:p w:rsidR="003877E3" w:rsidRPr="002A66DF" w:rsidRDefault="003877E3" w:rsidP="003877E3">
      <w:pPr>
        <w:pStyle w:val="ListParagraph"/>
        <w:numPr>
          <w:ilvl w:val="2"/>
          <w:numId w:val="14"/>
        </w:numPr>
        <w:ind w:left="709" w:hanging="709"/>
        <w:jc w:val="both"/>
        <w:rPr>
          <w:rFonts w:ascii="Tahoma" w:hAnsi="Tahoma" w:cs="Tahoma"/>
          <w:b/>
          <w:bCs/>
          <w:sz w:val="22"/>
          <w:szCs w:val="22"/>
        </w:rPr>
      </w:pPr>
      <w:r w:rsidRPr="002A66DF">
        <w:rPr>
          <w:rFonts w:ascii="Tahoma" w:hAnsi="Tahoma" w:cs="Tahoma"/>
          <w:b/>
          <w:bCs/>
          <w:sz w:val="22"/>
          <w:szCs w:val="22"/>
        </w:rPr>
        <w:t>Posebno skupi lijekovi izvan limita</w:t>
      </w:r>
    </w:p>
    <w:p w:rsidR="003877E3" w:rsidRPr="002A66DF" w:rsidRDefault="003877E3" w:rsidP="003877E3">
      <w:pPr>
        <w:jc w:val="both"/>
        <w:rPr>
          <w:rFonts w:ascii="Tahoma" w:hAnsi="Tahoma" w:cs="Tahoma"/>
          <w:bCs/>
          <w:sz w:val="22"/>
          <w:szCs w:val="22"/>
        </w:rPr>
      </w:pPr>
    </w:p>
    <w:p w:rsidR="003877E3" w:rsidRDefault="003877E3" w:rsidP="003877E3">
      <w:pPr>
        <w:jc w:val="both"/>
        <w:rPr>
          <w:rFonts w:ascii="Tahoma" w:hAnsi="Tahoma" w:cs="Tahoma"/>
          <w:bCs/>
          <w:sz w:val="22"/>
          <w:szCs w:val="22"/>
        </w:rPr>
      </w:pPr>
      <w:r w:rsidRPr="002A66DF">
        <w:rPr>
          <w:rFonts w:ascii="Tahoma" w:hAnsi="Tahoma" w:cs="Tahoma"/>
          <w:bCs/>
          <w:sz w:val="22"/>
          <w:szCs w:val="22"/>
        </w:rPr>
        <w:t>Kod rashoda za lijekove u razdoblju s</w:t>
      </w:r>
      <w:r w:rsidR="005D13F2" w:rsidRPr="002A66DF">
        <w:rPr>
          <w:rFonts w:ascii="Tahoma" w:hAnsi="Tahoma" w:cs="Tahoma"/>
          <w:bCs/>
          <w:sz w:val="22"/>
          <w:szCs w:val="22"/>
        </w:rPr>
        <w:t>iječanj-prosinac 2023</w:t>
      </w:r>
      <w:r w:rsidRPr="002A66DF">
        <w:rPr>
          <w:rFonts w:ascii="Tahoma" w:hAnsi="Tahoma" w:cs="Tahoma"/>
          <w:bCs/>
          <w:sz w:val="22"/>
          <w:szCs w:val="22"/>
        </w:rPr>
        <w:t>. godi</w:t>
      </w:r>
      <w:r w:rsidR="005D13F2" w:rsidRPr="002A66DF">
        <w:rPr>
          <w:rFonts w:ascii="Tahoma" w:hAnsi="Tahoma" w:cs="Tahoma"/>
          <w:bCs/>
          <w:sz w:val="22"/>
          <w:szCs w:val="22"/>
        </w:rPr>
        <w:t>ne, najveći trošak u iznosu od 152.291.862 EUR</w:t>
      </w:r>
      <w:r w:rsidRPr="002A66DF">
        <w:rPr>
          <w:rFonts w:ascii="Tahoma" w:hAnsi="Tahoma" w:cs="Tahoma"/>
          <w:bCs/>
          <w:sz w:val="22"/>
          <w:szCs w:val="22"/>
        </w:rPr>
        <w:t xml:space="preserve"> se odnosi na Posebno skupe lijekove </w:t>
      </w:r>
      <w:r w:rsidR="00EC0D94" w:rsidRPr="002A66DF">
        <w:rPr>
          <w:rFonts w:ascii="Tahoma" w:hAnsi="Tahoma" w:cs="Tahoma"/>
          <w:bCs/>
          <w:sz w:val="22"/>
          <w:szCs w:val="22"/>
        </w:rPr>
        <w:t>„</w:t>
      </w:r>
      <w:r w:rsidRPr="002A66DF">
        <w:rPr>
          <w:rFonts w:ascii="Tahoma" w:hAnsi="Tahoma" w:cs="Tahoma"/>
          <w:bCs/>
          <w:sz w:val="22"/>
          <w:szCs w:val="22"/>
        </w:rPr>
        <w:t>izvan limita“ (</w:t>
      </w:r>
      <w:proofErr w:type="spellStart"/>
      <w:r w:rsidRPr="002A66DF">
        <w:rPr>
          <w:rFonts w:ascii="Tahoma" w:hAnsi="Tahoma" w:cs="Tahoma"/>
          <w:bCs/>
          <w:sz w:val="22"/>
          <w:szCs w:val="22"/>
        </w:rPr>
        <w:t>Keytruda</w:t>
      </w:r>
      <w:proofErr w:type="spellEnd"/>
      <w:r w:rsidR="00694D57">
        <w:rPr>
          <w:rFonts w:ascii="Tahoma" w:hAnsi="Tahoma" w:cs="Tahoma"/>
          <w:bCs/>
          <w:sz w:val="22"/>
          <w:szCs w:val="22"/>
        </w:rPr>
        <w:t xml:space="preserve">, </w:t>
      </w:r>
      <w:proofErr w:type="spellStart"/>
      <w:r w:rsidR="00694D57">
        <w:rPr>
          <w:rFonts w:ascii="Tahoma" w:hAnsi="Tahoma" w:cs="Tahoma"/>
          <w:bCs/>
          <w:sz w:val="22"/>
          <w:szCs w:val="22"/>
        </w:rPr>
        <w:t>Evrysdi</w:t>
      </w:r>
      <w:proofErr w:type="spellEnd"/>
      <w:r w:rsidRPr="002A66DF">
        <w:rPr>
          <w:rFonts w:ascii="Tahoma" w:hAnsi="Tahoma" w:cs="Tahoma"/>
          <w:bCs/>
          <w:sz w:val="22"/>
          <w:szCs w:val="22"/>
        </w:rPr>
        <w:t xml:space="preserve">, </w:t>
      </w:r>
      <w:proofErr w:type="spellStart"/>
      <w:r w:rsidRPr="002A66DF">
        <w:rPr>
          <w:rFonts w:ascii="Tahoma" w:hAnsi="Tahoma" w:cs="Tahoma"/>
          <w:bCs/>
          <w:sz w:val="22"/>
          <w:szCs w:val="22"/>
        </w:rPr>
        <w:t>Kaftrio</w:t>
      </w:r>
      <w:proofErr w:type="spellEnd"/>
      <w:r w:rsidRPr="002A66DF">
        <w:rPr>
          <w:rFonts w:ascii="Tahoma" w:hAnsi="Tahoma" w:cs="Tahoma"/>
          <w:bCs/>
          <w:sz w:val="22"/>
          <w:szCs w:val="22"/>
        </w:rPr>
        <w:t xml:space="preserve">, </w:t>
      </w:r>
      <w:proofErr w:type="spellStart"/>
      <w:r w:rsidR="00EC0D94" w:rsidRPr="002A66DF">
        <w:rPr>
          <w:rFonts w:ascii="Tahoma" w:hAnsi="Tahoma" w:cs="Tahoma"/>
          <w:bCs/>
          <w:sz w:val="22"/>
          <w:szCs w:val="22"/>
        </w:rPr>
        <w:t>Ocrevus</w:t>
      </w:r>
      <w:proofErr w:type="spellEnd"/>
      <w:r w:rsidR="00EC0D94" w:rsidRPr="002A66DF">
        <w:rPr>
          <w:rFonts w:ascii="Tahoma" w:hAnsi="Tahoma" w:cs="Tahoma"/>
          <w:bCs/>
          <w:sz w:val="22"/>
          <w:szCs w:val="22"/>
        </w:rPr>
        <w:t xml:space="preserve">, </w:t>
      </w:r>
      <w:proofErr w:type="spellStart"/>
      <w:r w:rsidRPr="002A66DF">
        <w:rPr>
          <w:rFonts w:ascii="Tahoma" w:hAnsi="Tahoma" w:cs="Tahoma"/>
          <w:bCs/>
          <w:sz w:val="22"/>
          <w:szCs w:val="22"/>
        </w:rPr>
        <w:t>Kalydeco</w:t>
      </w:r>
      <w:proofErr w:type="spellEnd"/>
      <w:r w:rsidRPr="002A66DF">
        <w:rPr>
          <w:rFonts w:ascii="Tahoma" w:hAnsi="Tahoma" w:cs="Tahoma"/>
          <w:bCs/>
          <w:sz w:val="22"/>
          <w:szCs w:val="22"/>
        </w:rPr>
        <w:t xml:space="preserve">) čija se terapija provodi sukladno Smjernicama HZZO-a. </w:t>
      </w:r>
    </w:p>
    <w:p w:rsidR="00AA75C3" w:rsidRPr="002A66DF" w:rsidRDefault="00AA75C3" w:rsidP="003877E3">
      <w:pPr>
        <w:jc w:val="both"/>
        <w:rPr>
          <w:rFonts w:ascii="Tahoma" w:hAnsi="Tahoma" w:cs="Tahoma"/>
          <w:bCs/>
          <w:sz w:val="22"/>
          <w:szCs w:val="22"/>
        </w:rPr>
      </w:pPr>
    </w:p>
    <w:p w:rsidR="00054F39" w:rsidRPr="002A66DF" w:rsidRDefault="00054F39" w:rsidP="003877E3">
      <w:pPr>
        <w:jc w:val="both"/>
        <w:rPr>
          <w:rFonts w:ascii="Tahoma" w:hAnsi="Tahoma" w:cs="Tahoma"/>
          <w:bCs/>
          <w:sz w:val="22"/>
          <w:szCs w:val="22"/>
        </w:rPr>
      </w:pPr>
    </w:p>
    <w:p w:rsidR="003877E3" w:rsidRPr="002A66DF" w:rsidRDefault="003877E3" w:rsidP="003877E3">
      <w:pPr>
        <w:pStyle w:val="ListParagraph"/>
        <w:numPr>
          <w:ilvl w:val="2"/>
          <w:numId w:val="14"/>
        </w:numPr>
        <w:ind w:left="709" w:hanging="709"/>
        <w:jc w:val="both"/>
        <w:rPr>
          <w:rFonts w:ascii="Tahoma" w:hAnsi="Tahoma" w:cs="Tahoma"/>
          <w:b/>
          <w:bCs/>
          <w:sz w:val="22"/>
          <w:szCs w:val="22"/>
        </w:rPr>
      </w:pPr>
      <w:r w:rsidRPr="002A66DF">
        <w:rPr>
          <w:rFonts w:ascii="Tahoma" w:hAnsi="Tahoma" w:cs="Tahoma"/>
          <w:b/>
          <w:bCs/>
          <w:sz w:val="22"/>
          <w:szCs w:val="22"/>
        </w:rPr>
        <w:lastRenderedPageBreak/>
        <w:t>Ostali lijekovi</w:t>
      </w:r>
    </w:p>
    <w:p w:rsidR="003877E3" w:rsidRPr="002A66DF" w:rsidRDefault="003877E3" w:rsidP="003877E3">
      <w:pPr>
        <w:jc w:val="both"/>
        <w:rPr>
          <w:rFonts w:ascii="Tahoma" w:hAnsi="Tahoma" w:cs="Tahoma"/>
          <w:b/>
          <w:bCs/>
          <w:sz w:val="22"/>
          <w:szCs w:val="22"/>
        </w:rPr>
      </w:pPr>
    </w:p>
    <w:p w:rsidR="009E0B28" w:rsidRPr="002A66DF" w:rsidRDefault="009E0B28" w:rsidP="009E0B28">
      <w:pPr>
        <w:jc w:val="both"/>
        <w:rPr>
          <w:rFonts w:ascii="Tahoma" w:hAnsi="Tahoma" w:cs="Tahoma"/>
          <w:sz w:val="22"/>
          <w:szCs w:val="22"/>
        </w:rPr>
      </w:pPr>
      <w:r w:rsidRPr="002A66DF">
        <w:rPr>
          <w:rFonts w:ascii="Tahoma" w:hAnsi="Tahoma" w:cs="Tahoma"/>
          <w:sz w:val="22"/>
          <w:szCs w:val="22"/>
        </w:rPr>
        <w:t>Rashodi za ostale lijekove u ra</w:t>
      </w:r>
      <w:r w:rsidR="00B46A7F" w:rsidRPr="002A66DF">
        <w:rPr>
          <w:rFonts w:ascii="Tahoma" w:hAnsi="Tahoma" w:cs="Tahoma"/>
          <w:sz w:val="22"/>
          <w:szCs w:val="22"/>
        </w:rPr>
        <w:t>zdoblju siječanj - prosinac 2023</w:t>
      </w:r>
      <w:r w:rsidRPr="002A66DF">
        <w:rPr>
          <w:rFonts w:ascii="Tahoma" w:hAnsi="Tahoma" w:cs="Tahoma"/>
          <w:sz w:val="22"/>
          <w:szCs w:val="22"/>
        </w:rPr>
        <w:t xml:space="preserve">. ostvareni su u iznosu od </w:t>
      </w:r>
      <w:r w:rsidR="00B46A7F" w:rsidRPr="002A66DF">
        <w:rPr>
          <w:rFonts w:ascii="Tahoma" w:hAnsi="Tahoma" w:cs="Tahoma"/>
          <w:sz w:val="22"/>
          <w:szCs w:val="22"/>
        </w:rPr>
        <w:t xml:space="preserve">61.886.652 EUR </w:t>
      </w:r>
      <w:r w:rsidRPr="002A66DF">
        <w:rPr>
          <w:rFonts w:ascii="Tahoma" w:hAnsi="Tahoma" w:cs="Tahoma"/>
          <w:sz w:val="22"/>
          <w:szCs w:val="22"/>
        </w:rPr>
        <w:t>(</w:t>
      </w:r>
      <w:proofErr w:type="spellStart"/>
      <w:r w:rsidR="00472D25" w:rsidRPr="002A66DF">
        <w:rPr>
          <w:rFonts w:ascii="Tahoma" w:hAnsi="Tahoma" w:cs="Tahoma"/>
          <w:sz w:val="22"/>
          <w:szCs w:val="22"/>
        </w:rPr>
        <w:t>Xtandi</w:t>
      </w:r>
      <w:proofErr w:type="spellEnd"/>
      <w:r w:rsidR="00472D25" w:rsidRPr="002A66DF">
        <w:rPr>
          <w:rFonts w:ascii="Tahoma" w:hAnsi="Tahoma" w:cs="Tahoma"/>
          <w:sz w:val="22"/>
          <w:szCs w:val="22"/>
        </w:rPr>
        <w:t xml:space="preserve">, </w:t>
      </w:r>
      <w:proofErr w:type="spellStart"/>
      <w:r w:rsidR="00472D25" w:rsidRPr="002A66DF">
        <w:rPr>
          <w:rFonts w:ascii="Tahoma" w:hAnsi="Tahoma" w:cs="Tahoma"/>
          <w:sz w:val="22"/>
          <w:szCs w:val="22"/>
        </w:rPr>
        <w:t>Erleada</w:t>
      </w:r>
      <w:proofErr w:type="spellEnd"/>
      <w:r w:rsidR="00472D25" w:rsidRPr="002A66DF">
        <w:rPr>
          <w:rFonts w:ascii="Tahoma" w:hAnsi="Tahoma" w:cs="Tahoma"/>
          <w:sz w:val="22"/>
          <w:szCs w:val="22"/>
        </w:rPr>
        <w:t xml:space="preserve">, </w:t>
      </w:r>
      <w:proofErr w:type="spellStart"/>
      <w:r w:rsidRPr="002A66DF">
        <w:rPr>
          <w:rFonts w:ascii="Tahoma" w:hAnsi="Tahoma" w:cs="Tahoma"/>
          <w:sz w:val="22"/>
          <w:szCs w:val="22"/>
        </w:rPr>
        <w:t>Respreeza</w:t>
      </w:r>
      <w:proofErr w:type="spellEnd"/>
      <w:r w:rsidRPr="002A66DF">
        <w:rPr>
          <w:rFonts w:ascii="Tahoma" w:hAnsi="Tahoma" w:cs="Tahoma"/>
          <w:sz w:val="22"/>
          <w:szCs w:val="22"/>
        </w:rPr>
        <w:t xml:space="preserve">, </w:t>
      </w:r>
      <w:proofErr w:type="spellStart"/>
      <w:r w:rsidRPr="002A66DF">
        <w:rPr>
          <w:rFonts w:ascii="Tahoma" w:hAnsi="Tahoma" w:cs="Tahoma"/>
          <w:sz w:val="22"/>
          <w:szCs w:val="22"/>
        </w:rPr>
        <w:t>A</w:t>
      </w:r>
      <w:r w:rsidR="00472D25" w:rsidRPr="002A66DF">
        <w:rPr>
          <w:rFonts w:ascii="Tahoma" w:hAnsi="Tahoma" w:cs="Tahoma"/>
          <w:sz w:val="22"/>
          <w:szCs w:val="22"/>
        </w:rPr>
        <w:t>mbisome</w:t>
      </w:r>
      <w:proofErr w:type="spellEnd"/>
      <w:r w:rsidRPr="002A66DF">
        <w:rPr>
          <w:rFonts w:ascii="Tahoma" w:hAnsi="Tahoma" w:cs="Tahoma"/>
          <w:sz w:val="22"/>
          <w:szCs w:val="22"/>
        </w:rPr>
        <w:t xml:space="preserve">, </w:t>
      </w:r>
      <w:proofErr w:type="spellStart"/>
      <w:r w:rsidR="00472D25" w:rsidRPr="002A66DF">
        <w:rPr>
          <w:rFonts w:ascii="Tahoma" w:hAnsi="Tahoma" w:cs="Tahoma"/>
          <w:sz w:val="22"/>
          <w:szCs w:val="22"/>
        </w:rPr>
        <w:t>Erbitux</w:t>
      </w:r>
      <w:proofErr w:type="spellEnd"/>
      <w:r w:rsidRPr="002A66DF">
        <w:rPr>
          <w:rFonts w:ascii="Tahoma" w:hAnsi="Tahoma" w:cs="Tahoma"/>
          <w:sz w:val="22"/>
          <w:szCs w:val="22"/>
        </w:rPr>
        <w:t xml:space="preserve">, </w:t>
      </w:r>
      <w:proofErr w:type="spellStart"/>
      <w:r w:rsidR="00472D25" w:rsidRPr="002A66DF">
        <w:rPr>
          <w:rFonts w:ascii="Tahoma" w:hAnsi="Tahoma" w:cs="Tahoma"/>
          <w:sz w:val="22"/>
          <w:szCs w:val="22"/>
        </w:rPr>
        <w:t>Adempas</w:t>
      </w:r>
      <w:proofErr w:type="spellEnd"/>
      <w:r w:rsidR="00B46A7F" w:rsidRPr="002A66DF">
        <w:rPr>
          <w:rFonts w:ascii="Tahoma" w:hAnsi="Tahoma" w:cs="Tahoma"/>
          <w:sz w:val="22"/>
          <w:szCs w:val="22"/>
        </w:rPr>
        <w:t>)  što je povećanje od 38,9</w:t>
      </w:r>
      <w:r w:rsidRPr="002A66DF">
        <w:rPr>
          <w:rFonts w:ascii="Tahoma" w:hAnsi="Tahoma" w:cs="Tahoma"/>
          <w:sz w:val="22"/>
          <w:szCs w:val="22"/>
        </w:rPr>
        <w:t xml:space="preserve">% u odnosu na isto razdoblje prethodne </w:t>
      </w:r>
      <w:r w:rsidR="00B46A7F" w:rsidRPr="002A66DF">
        <w:rPr>
          <w:rFonts w:ascii="Tahoma" w:hAnsi="Tahoma" w:cs="Tahoma"/>
          <w:sz w:val="22"/>
          <w:szCs w:val="22"/>
        </w:rPr>
        <w:t>godine (44.546.077 EUR</w:t>
      </w:r>
      <w:r w:rsidRPr="002A66DF">
        <w:rPr>
          <w:rFonts w:ascii="Tahoma" w:hAnsi="Tahoma" w:cs="Tahoma"/>
          <w:sz w:val="22"/>
          <w:szCs w:val="22"/>
        </w:rPr>
        <w:t>). Rashodi za ost</w:t>
      </w:r>
      <w:r w:rsidR="00E83CE4" w:rsidRPr="002A66DF">
        <w:rPr>
          <w:rFonts w:ascii="Tahoma" w:hAnsi="Tahoma" w:cs="Tahoma"/>
          <w:sz w:val="22"/>
          <w:szCs w:val="22"/>
        </w:rPr>
        <w:t>ale lijekove koji su od 1.1.2023</w:t>
      </w:r>
      <w:r w:rsidRPr="002A66DF">
        <w:rPr>
          <w:rFonts w:ascii="Tahoma" w:hAnsi="Tahoma" w:cs="Tahoma"/>
          <w:sz w:val="22"/>
          <w:szCs w:val="22"/>
        </w:rPr>
        <w:t>. godine skinuti s liste Posebno skupih lijekova u ra</w:t>
      </w:r>
      <w:r w:rsidR="00E83CE4" w:rsidRPr="002A66DF">
        <w:rPr>
          <w:rFonts w:ascii="Tahoma" w:hAnsi="Tahoma" w:cs="Tahoma"/>
          <w:sz w:val="22"/>
          <w:szCs w:val="22"/>
        </w:rPr>
        <w:t>zdoblju siječanj - prosinac 2023</w:t>
      </w:r>
      <w:r w:rsidRPr="002A66DF">
        <w:rPr>
          <w:rFonts w:ascii="Tahoma" w:hAnsi="Tahoma" w:cs="Tahoma"/>
          <w:sz w:val="22"/>
          <w:szCs w:val="22"/>
        </w:rPr>
        <w:t xml:space="preserve">. godine ostvareni su u iznosu od </w:t>
      </w:r>
      <w:r w:rsidR="00D6755E" w:rsidRPr="002A66DF">
        <w:rPr>
          <w:rFonts w:ascii="Tahoma" w:hAnsi="Tahoma" w:cs="Tahoma"/>
          <w:sz w:val="22"/>
          <w:szCs w:val="22"/>
        </w:rPr>
        <w:t xml:space="preserve">11.857.345 EUR </w:t>
      </w:r>
      <w:r w:rsidRPr="002A66DF">
        <w:rPr>
          <w:rFonts w:ascii="Tahoma" w:hAnsi="Tahoma" w:cs="Tahoma"/>
          <w:sz w:val="22"/>
          <w:szCs w:val="22"/>
        </w:rPr>
        <w:t>(</w:t>
      </w:r>
      <w:proofErr w:type="spellStart"/>
      <w:r w:rsidR="00835692" w:rsidRPr="002A66DF">
        <w:rPr>
          <w:rFonts w:ascii="Tahoma" w:hAnsi="Tahoma" w:cs="Tahoma"/>
          <w:sz w:val="22"/>
          <w:szCs w:val="22"/>
        </w:rPr>
        <w:t>Xtandi</w:t>
      </w:r>
      <w:proofErr w:type="spellEnd"/>
      <w:r w:rsidR="00835692" w:rsidRPr="002A66DF">
        <w:rPr>
          <w:rFonts w:ascii="Tahoma" w:hAnsi="Tahoma" w:cs="Tahoma"/>
          <w:sz w:val="22"/>
          <w:szCs w:val="22"/>
        </w:rPr>
        <w:t xml:space="preserve">, </w:t>
      </w:r>
      <w:proofErr w:type="spellStart"/>
      <w:r w:rsidR="00835692" w:rsidRPr="002A66DF">
        <w:rPr>
          <w:rFonts w:ascii="Tahoma" w:hAnsi="Tahoma" w:cs="Tahoma"/>
          <w:sz w:val="22"/>
          <w:szCs w:val="22"/>
        </w:rPr>
        <w:t>Erleada</w:t>
      </w:r>
      <w:proofErr w:type="spellEnd"/>
      <w:r w:rsidR="00835692" w:rsidRPr="002A66DF">
        <w:rPr>
          <w:rFonts w:ascii="Tahoma" w:hAnsi="Tahoma" w:cs="Tahoma"/>
          <w:sz w:val="22"/>
          <w:szCs w:val="22"/>
        </w:rPr>
        <w:t xml:space="preserve">, </w:t>
      </w:r>
      <w:proofErr w:type="spellStart"/>
      <w:r w:rsidR="00835692" w:rsidRPr="002A66DF">
        <w:rPr>
          <w:rFonts w:ascii="Tahoma" w:hAnsi="Tahoma" w:cs="Tahoma"/>
          <w:sz w:val="22"/>
          <w:szCs w:val="22"/>
        </w:rPr>
        <w:t>Revolade</w:t>
      </w:r>
      <w:proofErr w:type="spellEnd"/>
      <w:r w:rsidR="00835692" w:rsidRPr="002A66DF">
        <w:rPr>
          <w:rFonts w:ascii="Tahoma" w:hAnsi="Tahoma" w:cs="Tahoma"/>
          <w:sz w:val="22"/>
          <w:szCs w:val="22"/>
        </w:rPr>
        <w:t xml:space="preserve">, </w:t>
      </w:r>
      <w:proofErr w:type="spellStart"/>
      <w:r w:rsidR="00835692" w:rsidRPr="002A66DF">
        <w:rPr>
          <w:rFonts w:ascii="Tahoma" w:hAnsi="Tahoma" w:cs="Tahoma"/>
          <w:sz w:val="22"/>
          <w:szCs w:val="22"/>
        </w:rPr>
        <w:t>Ofev</w:t>
      </w:r>
      <w:proofErr w:type="spellEnd"/>
      <w:r w:rsidRPr="002A66DF">
        <w:rPr>
          <w:rFonts w:ascii="Tahoma" w:hAnsi="Tahoma" w:cs="Tahoma"/>
          <w:sz w:val="22"/>
          <w:szCs w:val="22"/>
        </w:rPr>
        <w:t>).</w:t>
      </w:r>
    </w:p>
    <w:p w:rsidR="003877E3" w:rsidRPr="002A66DF" w:rsidRDefault="003877E3" w:rsidP="003877E3">
      <w:pPr>
        <w:jc w:val="both"/>
        <w:rPr>
          <w:rFonts w:ascii="Tahoma" w:hAnsi="Tahoma" w:cs="Tahoma"/>
          <w:color w:val="FF0000"/>
          <w:sz w:val="22"/>
          <w:szCs w:val="22"/>
        </w:rPr>
      </w:pPr>
    </w:p>
    <w:p w:rsidR="003877E3" w:rsidRPr="002A66DF" w:rsidRDefault="003877E3" w:rsidP="003877E3">
      <w:pPr>
        <w:pStyle w:val="ListParagraph"/>
        <w:numPr>
          <w:ilvl w:val="2"/>
          <w:numId w:val="14"/>
        </w:numPr>
        <w:ind w:left="709" w:hanging="709"/>
        <w:jc w:val="both"/>
        <w:rPr>
          <w:rFonts w:ascii="Tahoma" w:hAnsi="Tahoma" w:cs="Tahoma"/>
          <w:b/>
          <w:sz w:val="22"/>
          <w:szCs w:val="22"/>
        </w:rPr>
      </w:pPr>
      <w:r w:rsidRPr="002A66DF">
        <w:rPr>
          <w:rFonts w:ascii="Tahoma" w:hAnsi="Tahoma" w:cs="Tahoma"/>
          <w:b/>
          <w:sz w:val="22"/>
          <w:szCs w:val="22"/>
        </w:rPr>
        <w:t>Medicinski potrošni materijal</w:t>
      </w:r>
    </w:p>
    <w:p w:rsidR="003877E3" w:rsidRPr="002A66DF" w:rsidRDefault="003877E3" w:rsidP="003877E3">
      <w:pPr>
        <w:jc w:val="both"/>
        <w:rPr>
          <w:rFonts w:ascii="Tahoma" w:hAnsi="Tahoma" w:cs="Tahoma"/>
          <w:sz w:val="22"/>
          <w:szCs w:val="22"/>
        </w:rPr>
      </w:pPr>
    </w:p>
    <w:p w:rsidR="003877E3" w:rsidRPr="002A66DF" w:rsidRDefault="003877E3" w:rsidP="003877E3">
      <w:pPr>
        <w:jc w:val="both"/>
        <w:rPr>
          <w:rFonts w:ascii="Tahoma" w:hAnsi="Tahoma" w:cs="Tahoma"/>
          <w:sz w:val="22"/>
          <w:szCs w:val="22"/>
        </w:rPr>
      </w:pPr>
      <w:r w:rsidRPr="002A66DF">
        <w:rPr>
          <w:rFonts w:ascii="Tahoma" w:hAnsi="Tahoma" w:cs="Tahoma"/>
          <w:sz w:val="22"/>
          <w:szCs w:val="22"/>
        </w:rPr>
        <w:t>Rashodi za medicinski potrošni materijal u ra</w:t>
      </w:r>
      <w:r w:rsidR="00C16375" w:rsidRPr="002A66DF">
        <w:rPr>
          <w:rFonts w:ascii="Tahoma" w:hAnsi="Tahoma" w:cs="Tahoma"/>
          <w:sz w:val="22"/>
          <w:szCs w:val="22"/>
        </w:rPr>
        <w:t>zdoblju siječanj – prosinac 2023</w:t>
      </w:r>
      <w:r w:rsidRPr="002A66DF">
        <w:rPr>
          <w:rFonts w:ascii="Tahoma" w:hAnsi="Tahoma" w:cs="Tahoma"/>
          <w:sz w:val="22"/>
          <w:szCs w:val="22"/>
        </w:rPr>
        <w:t xml:space="preserve">. ostvareni su u iznosu od </w:t>
      </w:r>
      <w:r w:rsidR="00C16375" w:rsidRPr="002A66DF">
        <w:rPr>
          <w:rFonts w:ascii="Tahoma" w:hAnsi="Tahoma" w:cs="Tahoma"/>
          <w:sz w:val="22"/>
          <w:szCs w:val="22"/>
        </w:rPr>
        <w:t>67.230.633 EUR što je povećanje od 12,1</w:t>
      </w:r>
      <w:r w:rsidRPr="002A66DF">
        <w:rPr>
          <w:rFonts w:ascii="Tahoma" w:hAnsi="Tahoma" w:cs="Tahoma"/>
          <w:sz w:val="22"/>
          <w:szCs w:val="22"/>
        </w:rPr>
        <w:t>% u odnosu na isto razdoblje prethodne godine (</w:t>
      </w:r>
      <w:r w:rsidR="00C16375" w:rsidRPr="002A66DF">
        <w:rPr>
          <w:rFonts w:ascii="Tahoma" w:hAnsi="Tahoma" w:cs="Tahoma"/>
          <w:sz w:val="22"/>
          <w:szCs w:val="22"/>
        </w:rPr>
        <w:t>59.961.004 EUR</w:t>
      </w:r>
      <w:r w:rsidRPr="002A66DF">
        <w:rPr>
          <w:rFonts w:ascii="Tahoma" w:hAnsi="Tahoma" w:cs="Tahoma"/>
          <w:sz w:val="22"/>
          <w:szCs w:val="22"/>
        </w:rPr>
        <w:t xml:space="preserve">). Od toga rashodi za medicinski potrošni materijal izvan limita ostvareni su u iznosu od </w:t>
      </w:r>
      <w:r w:rsidR="00137E17" w:rsidRPr="002A66DF">
        <w:rPr>
          <w:rFonts w:ascii="Tahoma" w:hAnsi="Tahoma" w:cs="Tahoma"/>
          <w:sz w:val="22"/>
          <w:szCs w:val="22"/>
        </w:rPr>
        <w:t>16.234.736 EUR</w:t>
      </w:r>
      <w:r w:rsidRPr="002A66DF">
        <w:rPr>
          <w:rFonts w:ascii="Tahoma" w:hAnsi="Tahoma" w:cs="Tahoma"/>
          <w:sz w:val="22"/>
          <w:szCs w:val="22"/>
        </w:rPr>
        <w:t xml:space="preserve"> što</w:t>
      </w:r>
      <w:r w:rsidR="00137E17" w:rsidRPr="002A66DF">
        <w:rPr>
          <w:rFonts w:ascii="Tahoma" w:hAnsi="Tahoma" w:cs="Tahoma"/>
          <w:sz w:val="22"/>
          <w:szCs w:val="22"/>
        </w:rPr>
        <w:t xml:space="preserve"> je povećanje od 21,4</w:t>
      </w:r>
      <w:r w:rsidRPr="002A66DF">
        <w:rPr>
          <w:rFonts w:ascii="Tahoma" w:hAnsi="Tahoma" w:cs="Tahoma"/>
          <w:sz w:val="22"/>
          <w:szCs w:val="22"/>
        </w:rPr>
        <w:t>% u odnosu na isto razdoblje prethodne godine (</w:t>
      </w:r>
      <w:r w:rsidR="00137E17" w:rsidRPr="002A66DF">
        <w:rPr>
          <w:rFonts w:ascii="Tahoma" w:hAnsi="Tahoma" w:cs="Tahoma"/>
          <w:sz w:val="22"/>
          <w:szCs w:val="22"/>
        </w:rPr>
        <w:t>13.378.358 EUR</w:t>
      </w:r>
      <w:r w:rsidRPr="002A66DF">
        <w:rPr>
          <w:rFonts w:ascii="Tahoma" w:hAnsi="Tahoma" w:cs="Tahoma"/>
          <w:sz w:val="22"/>
          <w:szCs w:val="22"/>
        </w:rPr>
        <w:t>).</w:t>
      </w:r>
    </w:p>
    <w:p w:rsidR="003877E3" w:rsidRPr="002A66DF" w:rsidRDefault="003877E3" w:rsidP="003877E3">
      <w:pPr>
        <w:jc w:val="both"/>
        <w:rPr>
          <w:rFonts w:ascii="Tahoma" w:hAnsi="Tahoma" w:cs="Tahoma"/>
          <w:sz w:val="22"/>
          <w:szCs w:val="22"/>
        </w:rPr>
      </w:pPr>
    </w:p>
    <w:p w:rsidR="003877E3" w:rsidRPr="002A66DF" w:rsidRDefault="003877E3" w:rsidP="003877E3">
      <w:pPr>
        <w:pStyle w:val="ListParagraph"/>
        <w:numPr>
          <w:ilvl w:val="2"/>
          <w:numId w:val="14"/>
        </w:numPr>
        <w:ind w:left="709" w:hanging="709"/>
        <w:jc w:val="both"/>
        <w:rPr>
          <w:rFonts w:ascii="Tahoma" w:hAnsi="Tahoma" w:cs="Tahoma"/>
          <w:b/>
          <w:sz w:val="22"/>
          <w:szCs w:val="22"/>
        </w:rPr>
      </w:pPr>
      <w:r w:rsidRPr="002A66DF">
        <w:rPr>
          <w:rFonts w:ascii="Tahoma" w:hAnsi="Tahoma" w:cs="Tahoma"/>
          <w:b/>
          <w:sz w:val="22"/>
          <w:szCs w:val="22"/>
        </w:rPr>
        <w:t>Krv i krvni pripravci</w:t>
      </w:r>
    </w:p>
    <w:p w:rsidR="003877E3" w:rsidRPr="002A66DF" w:rsidRDefault="003877E3" w:rsidP="003877E3">
      <w:pPr>
        <w:jc w:val="both"/>
        <w:rPr>
          <w:rFonts w:ascii="Tahoma" w:hAnsi="Tahoma" w:cs="Tahoma"/>
          <w:sz w:val="22"/>
          <w:szCs w:val="22"/>
        </w:rPr>
      </w:pPr>
    </w:p>
    <w:p w:rsidR="00911DE3" w:rsidRPr="00E05B7A" w:rsidRDefault="003877E3" w:rsidP="00911DE3">
      <w:pPr>
        <w:jc w:val="both"/>
        <w:rPr>
          <w:rFonts w:ascii="Tahoma" w:hAnsi="Tahoma" w:cs="Tahoma"/>
          <w:sz w:val="22"/>
          <w:szCs w:val="22"/>
        </w:rPr>
      </w:pPr>
      <w:r w:rsidRPr="002A66DF">
        <w:rPr>
          <w:rFonts w:ascii="Tahoma" w:hAnsi="Tahoma" w:cs="Tahoma"/>
          <w:sz w:val="22"/>
          <w:szCs w:val="22"/>
        </w:rPr>
        <w:t>Rashodi za krv i krvne pripravke u ra</w:t>
      </w:r>
      <w:r w:rsidR="00911DE3" w:rsidRPr="002A66DF">
        <w:rPr>
          <w:rFonts w:ascii="Tahoma" w:hAnsi="Tahoma" w:cs="Tahoma"/>
          <w:sz w:val="22"/>
          <w:szCs w:val="22"/>
        </w:rPr>
        <w:t>zdoblju siječanj - prosinac 2023</w:t>
      </w:r>
      <w:r w:rsidRPr="002A66DF">
        <w:rPr>
          <w:rFonts w:ascii="Tahoma" w:hAnsi="Tahoma" w:cs="Tahoma"/>
          <w:sz w:val="22"/>
          <w:szCs w:val="22"/>
        </w:rPr>
        <w:t xml:space="preserve">. ostvareni su u iznosu od </w:t>
      </w:r>
      <w:r w:rsidR="00911DE3" w:rsidRPr="002A66DF">
        <w:rPr>
          <w:rFonts w:ascii="Tahoma" w:hAnsi="Tahoma" w:cs="Tahoma"/>
          <w:sz w:val="22"/>
          <w:szCs w:val="22"/>
        </w:rPr>
        <w:t>15.509.076 EUR što je povećanje od 16,6</w:t>
      </w:r>
      <w:r w:rsidRPr="002A66DF">
        <w:rPr>
          <w:rFonts w:ascii="Tahoma" w:hAnsi="Tahoma" w:cs="Tahoma"/>
          <w:sz w:val="22"/>
          <w:szCs w:val="22"/>
        </w:rPr>
        <w:t>%</w:t>
      </w:r>
      <w:r w:rsidR="007A6E05" w:rsidRPr="002A66DF">
        <w:rPr>
          <w:rFonts w:ascii="Tahoma" w:hAnsi="Tahoma" w:cs="Tahoma"/>
          <w:sz w:val="22"/>
          <w:szCs w:val="22"/>
        </w:rPr>
        <w:t xml:space="preserve"> </w:t>
      </w:r>
      <w:r w:rsidRPr="002A66DF">
        <w:rPr>
          <w:rFonts w:ascii="Tahoma" w:hAnsi="Tahoma" w:cs="Tahoma"/>
          <w:sz w:val="22"/>
          <w:szCs w:val="22"/>
        </w:rPr>
        <w:t>u odnosu na isto razdoblje prethodne godine (</w:t>
      </w:r>
      <w:r w:rsidR="00911DE3" w:rsidRPr="002A66DF">
        <w:rPr>
          <w:rFonts w:ascii="Tahoma" w:hAnsi="Tahoma" w:cs="Tahoma"/>
          <w:sz w:val="22"/>
          <w:szCs w:val="22"/>
        </w:rPr>
        <w:t>13.303.900 EUR</w:t>
      </w:r>
      <w:r w:rsidRPr="002A66DF">
        <w:rPr>
          <w:rFonts w:ascii="Tahoma" w:hAnsi="Tahoma" w:cs="Tahoma"/>
          <w:sz w:val="22"/>
          <w:szCs w:val="22"/>
        </w:rPr>
        <w:t xml:space="preserve">). </w:t>
      </w:r>
      <w:r w:rsidR="00911DE3" w:rsidRPr="002A66DF">
        <w:rPr>
          <w:rFonts w:ascii="Tahoma" w:hAnsi="Tahoma" w:cs="Tahoma"/>
          <w:sz w:val="22"/>
          <w:szCs w:val="22"/>
        </w:rPr>
        <w:t xml:space="preserve">Najveći trošak odnosi se na: </w:t>
      </w:r>
      <w:proofErr w:type="spellStart"/>
      <w:r w:rsidR="00911DE3" w:rsidRPr="002A66DF">
        <w:rPr>
          <w:rFonts w:ascii="Tahoma" w:hAnsi="Tahoma" w:cs="Tahoma"/>
          <w:sz w:val="22"/>
          <w:szCs w:val="22"/>
        </w:rPr>
        <w:t>Octagam</w:t>
      </w:r>
      <w:proofErr w:type="spellEnd"/>
      <w:r w:rsidR="00911DE3" w:rsidRPr="002A66DF">
        <w:rPr>
          <w:rFonts w:ascii="Tahoma" w:hAnsi="Tahoma" w:cs="Tahoma"/>
          <w:sz w:val="22"/>
          <w:szCs w:val="22"/>
        </w:rPr>
        <w:t xml:space="preserve">, </w:t>
      </w:r>
      <w:proofErr w:type="spellStart"/>
      <w:r w:rsidR="00911DE3" w:rsidRPr="002A66DF">
        <w:rPr>
          <w:rFonts w:ascii="Tahoma" w:hAnsi="Tahoma" w:cs="Tahoma"/>
          <w:sz w:val="22"/>
          <w:szCs w:val="22"/>
        </w:rPr>
        <w:t>NovoSeven</w:t>
      </w:r>
      <w:proofErr w:type="spellEnd"/>
      <w:r w:rsidR="00911DE3" w:rsidRPr="002A66DF">
        <w:rPr>
          <w:rFonts w:ascii="Tahoma" w:hAnsi="Tahoma" w:cs="Tahoma"/>
          <w:sz w:val="22"/>
          <w:szCs w:val="22"/>
        </w:rPr>
        <w:t xml:space="preserve">, CYTOTECT, </w:t>
      </w:r>
      <w:proofErr w:type="spellStart"/>
      <w:r w:rsidR="00911DE3" w:rsidRPr="002A66DF">
        <w:rPr>
          <w:rFonts w:ascii="Tahoma" w:hAnsi="Tahoma" w:cs="Tahoma"/>
          <w:sz w:val="22"/>
          <w:szCs w:val="22"/>
        </w:rPr>
        <w:t>Fibryga</w:t>
      </w:r>
      <w:proofErr w:type="spellEnd"/>
      <w:r w:rsidR="00911DE3" w:rsidRPr="002A66DF">
        <w:rPr>
          <w:rFonts w:ascii="Tahoma" w:hAnsi="Tahoma" w:cs="Tahoma"/>
          <w:sz w:val="22"/>
          <w:szCs w:val="22"/>
        </w:rPr>
        <w:t>.</w:t>
      </w:r>
    </w:p>
    <w:p w:rsidR="003877E3" w:rsidRDefault="003877E3" w:rsidP="003877E3">
      <w:pPr>
        <w:jc w:val="both"/>
        <w:rPr>
          <w:rFonts w:ascii="Tahoma" w:hAnsi="Tahoma" w:cs="Tahoma"/>
          <w:sz w:val="22"/>
          <w:szCs w:val="22"/>
        </w:rPr>
      </w:pPr>
    </w:p>
    <w:p w:rsidR="003877E3" w:rsidRPr="00222CA9" w:rsidRDefault="003877E3" w:rsidP="003877E3">
      <w:pPr>
        <w:pStyle w:val="ListParagraph"/>
        <w:numPr>
          <w:ilvl w:val="2"/>
          <w:numId w:val="14"/>
        </w:numPr>
        <w:ind w:left="709" w:hanging="709"/>
        <w:jc w:val="both"/>
        <w:rPr>
          <w:rFonts w:ascii="Tahoma" w:hAnsi="Tahoma" w:cs="Tahoma"/>
          <w:b/>
          <w:sz w:val="22"/>
          <w:szCs w:val="22"/>
        </w:rPr>
      </w:pPr>
      <w:r w:rsidRPr="00222CA9">
        <w:rPr>
          <w:rFonts w:ascii="Tahoma" w:hAnsi="Tahoma" w:cs="Tahoma"/>
          <w:b/>
          <w:sz w:val="22"/>
          <w:szCs w:val="22"/>
        </w:rPr>
        <w:t>Ostali materijalni rashodi</w:t>
      </w:r>
    </w:p>
    <w:p w:rsidR="003877E3" w:rsidRDefault="003877E3" w:rsidP="003877E3">
      <w:pPr>
        <w:jc w:val="both"/>
        <w:rPr>
          <w:rFonts w:ascii="Tahoma" w:hAnsi="Tahoma" w:cs="Tahoma"/>
          <w:sz w:val="22"/>
          <w:szCs w:val="22"/>
        </w:rPr>
      </w:pPr>
    </w:p>
    <w:p w:rsidR="001D5EF7" w:rsidRPr="002F2F85" w:rsidRDefault="00D83D84" w:rsidP="001D5EF7">
      <w:pPr>
        <w:pStyle w:val="ListParagraph"/>
        <w:numPr>
          <w:ilvl w:val="0"/>
          <w:numId w:val="6"/>
        </w:numPr>
        <w:jc w:val="both"/>
        <w:rPr>
          <w:rFonts w:ascii="Tahoma" w:hAnsi="Tahoma" w:cs="Tahoma"/>
          <w:b/>
          <w:sz w:val="22"/>
          <w:szCs w:val="22"/>
        </w:rPr>
      </w:pPr>
      <w:r>
        <w:rPr>
          <w:rFonts w:ascii="Tahoma" w:hAnsi="Tahoma" w:cs="Tahoma"/>
          <w:b/>
          <w:sz w:val="22"/>
          <w:szCs w:val="22"/>
        </w:rPr>
        <w:t>E</w:t>
      </w:r>
      <w:r w:rsidR="001D5EF7" w:rsidRPr="002F2F85">
        <w:rPr>
          <w:rFonts w:ascii="Tahoma" w:hAnsi="Tahoma" w:cs="Tahoma"/>
          <w:b/>
          <w:sz w:val="22"/>
          <w:szCs w:val="22"/>
        </w:rPr>
        <w:t>nergija</w:t>
      </w:r>
      <w:r w:rsidR="007A1281">
        <w:rPr>
          <w:rFonts w:ascii="Tahoma" w:hAnsi="Tahoma" w:cs="Tahoma"/>
          <w:b/>
          <w:sz w:val="22"/>
          <w:szCs w:val="22"/>
        </w:rPr>
        <w:t xml:space="preserve"> (Šifra 3223)</w:t>
      </w:r>
    </w:p>
    <w:p w:rsidR="001D5EF7" w:rsidRDefault="001D5EF7" w:rsidP="001D5EF7">
      <w:pPr>
        <w:jc w:val="both"/>
        <w:rPr>
          <w:rFonts w:ascii="Tahoma" w:hAnsi="Tahoma" w:cs="Tahoma"/>
          <w:sz w:val="22"/>
          <w:szCs w:val="22"/>
        </w:rPr>
      </w:pPr>
    </w:p>
    <w:tbl>
      <w:tblPr>
        <w:tblW w:w="8833" w:type="dxa"/>
        <w:tblInd w:w="93" w:type="dxa"/>
        <w:tblLook w:val="04A0" w:firstRow="1" w:lastRow="0" w:firstColumn="1" w:lastColumn="0" w:noHBand="0" w:noVBand="1"/>
      </w:tblPr>
      <w:tblGrid>
        <w:gridCol w:w="2596"/>
        <w:gridCol w:w="2126"/>
        <w:gridCol w:w="1843"/>
        <w:gridCol w:w="2268"/>
      </w:tblGrid>
      <w:tr w:rsidR="001D5EF7" w:rsidRPr="002A66DF" w:rsidTr="00222CA9">
        <w:trPr>
          <w:trHeight w:val="570"/>
        </w:trPr>
        <w:tc>
          <w:tcPr>
            <w:tcW w:w="2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EF7" w:rsidRPr="002A66DF" w:rsidRDefault="00D83D84" w:rsidP="005A213E">
            <w:pPr>
              <w:jc w:val="center"/>
              <w:rPr>
                <w:rFonts w:ascii="Tahoma" w:hAnsi="Tahoma" w:cs="Tahoma"/>
                <w:b/>
                <w:bCs/>
                <w:lang w:eastAsia="hr-HR"/>
              </w:rPr>
            </w:pPr>
            <w:r w:rsidRPr="002A66DF">
              <w:rPr>
                <w:rFonts w:ascii="Tahoma" w:hAnsi="Tahoma" w:cs="Tahoma"/>
                <w:b/>
                <w:bCs/>
                <w:sz w:val="20"/>
                <w:lang w:eastAsia="hr-HR"/>
              </w:rPr>
              <w:t>E</w:t>
            </w:r>
            <w:r w:rsidR="001D5EF7" w:rsidRPr="002A66DF">
              <w:rPr>
                <w:rFonts w:ascii="Tahoma" w:hAnsi="Tahoma" w:cs="Tahoma"/>
                <w:b/>
                <w:bCs/>
                <w:sz w:val="20"/>
                <w:lang w:eastAsia="hr-HR"/>
              </w:rPr>
              <w:t>nergija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D5EF7" w:rsidRPr="002A66DF" w:rsidRDefault="001D5EF7" w:rsidP="00222CA9">
            <w:pPr>
              <w:jc w:val="center"/>
              <w:rPr>
                <w:rFonts w:ascii="Tahoma" w:hAnsi="Tahoma" w:cs="Tahoma"/>
                <w:b/>
                <w:bCs/>
                <w:sz w:val="22"/>
                <w:lang w:eastAsia="hr-HR"/>
              </w:rPr>
            </w:pPr>
            <w:r w:rsidRPr="002A66DF">
              <w:rPr>
                <w:rFonts w:ascii="Tahoma" w:hAnsi="Tahoma" w:cs="Tahoma"/>
                <w:b/>
                <w:bCs/>
                <w:sz w:val="22"/>
                <w:lang w:eastAsia="hr-HR"/>
              </w:rPr>
              <w:t xml:space="preserve">Izvršenje </w:t>
            </w:r>
            <w:r w:rsidRPr="002A66DF">
              <w:rPr>
                <w:rFonts w:ascii="Tahoma" w:hAnsi="Tahoma" w:cs="Tahoma"/>
                <w:b/>
                <w:bCs/>
                <w:sz w:val="22"/>
                <w:lang w:eastAsia="hr-HR"/>
              </w:rPr>
              <w:br/>
              <w:t>202</w:t>
            </w:r>
            <w:r w:rsidR="005A213E" w:rsidRPr="002A66DF">
              <w:rPr>
                <w:rFonts w:ascii="Tahoma" w:hAnsi="Tahoma" w:cs="Tahoma"/>
                <w:b/>
                <w:bCs/>
                <w:sz w:val="22"/>
                <w:lang w:eastAsia="hr-HR"/>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D5EF7" w:rsidRPr="002A66DF" w:rsidRDefault="001D5EF7" w:rsidP="00222CA9">
            <w:pPr>
              <w:jc w:val="center"/>
              <w:rPr>
                <w:rFonts w:ascii="Tahoma" w:hAnsi="Tahoma" w:cs="Tahoma"/>
                <w:b/>
                <w:bCs/>
                <w:sz w:val="22"/>
                <w:lang w:eastAsia="hr-HR"/>
              </w:rPr>
            </w:pPr>
            <w:r w:rsidRPr="002A66DF">
              <w:rPr>
                <w:rFonts w:ascii="Tahoma" w:hAnsi="Tahoma" w:cs="Tahoma"/>
                <w:b/>
                <w:bCs/>
                <w:sz w:val="22"/>
                <w:lang w:eastAsia="hr-HR"/>
              </w:rPr>
              <w:t xml:space="preserve">Izvršenje </w:t>
            </w:r>
            <w:r w:rsidRPr="002A66DF">
              <w:rPr>
                <w:rFonts w:ascii="Tahoma" w:hAnsi="Tahoma" w:cs="Tahoma"/>
                <w:b/>
                <w:bCs/>
                <w:sz w:val="22"/>
                <w:lang w:eastAsia="hr-HR"/>
              </w:rPr>
              <w:br/>
              <w:t>202</w:t>
            </w:r>
            <w:r w:rsidR="005A213E" w:rsidRPr="002A66DF">
              <w:rPr>
                <w:rFonts w:ascii="Tahoma" w:hAnsi="Tahoma" w:cs="Tahoma"/>
                <w:b/>
                <w:bCs/>
                <w:sz w:val="22"/>
                <w:lang w:eastAsia="hr-HR"/>
              </w:rPr>
              <w:t>3</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1D5EF7" w:rsidRPr="002A66DF" w:rsidRDefault="001D5EF7" w:rsidP="00222CA9">
            <w:pPr>
              <w:jc w:val="center"/>
              <w:rPr>
                <w:rFonts w:ascii="Tahoma" w:hAnsi="Tahoma" w:cs="Tahoma"/>
                <w:b/>
                <w:bCs/>
                <w:sz w:val="22"/>
                <w:lang w:eastAsia="hr-HR"/>
              </w:rPr>
            </w:pPr>
            <w:r w:rsidRPr="002A66DF">
              <w:rPr>
                <w:rFonts w:ascii="Tahoma" w:hAnsi="Tahoma" w:cs="Tahoma"/>
                <w:b/>
                <w:bCs/>
                <w:sz w:val="22"/>
                <w:lang w:eastAsia="hr-HR"/>
              </w:rPr>
              <w:t>Indeks</w:t>
            </w:r>
            <w:r w:rsidRPr="002A66DF">
              <w:rPr>
                <w:rFonts w:ascii="Tahoma" w:hAnsi="Tahoma" w:cs="Tahoma"/>
                <w:b/>
                <w:bCs/>
                <w:sz w:val="22"/>
                <w:lang w:eastAsia="hr-HR"/>
              </w:rPr>
              <w:br/>
              <w:t>202</w:t>
            </w:r>
            <w:r w:rsidR="005A213E" w:rsidRPr="002A66DF">
              <w:rPr>
                <w:rFonts w:ascii="Tahoma" w:hAnsi="Tahoma" w:cs="Tahoma"/>
                <w:b/>
                <w:bCs/>
                <w:sz w:val="22"/>
                <w:lang w:eastAsia="hr-HR"/>
              </w:rPr>
              <w:t>3</w:t>
            </w:r>
            <w:r w:rsidRPr="002A66DF">
              <w:rPr>
                <w:rFonts w:ascii="Tahoma" w:hAnsi="Tahoma" w:cs="Tahoma"/>
                <w:b/>
                <w:bCs/>
                <w:sz w:val="22"/>
                <w:lang w:eastAsia="hr-HR"/>
              </w:rPr>
              <w:t>/202</w:t>
            </w:r>
            <w:r w:rsidR="005A213E" w:rsidRPr="002A66DF">
              <w:rPr>
                <w:rFonts w:ascii="Tahoma" w:hAnsi="Tahoma" w:cs="Tahoma"/>
                <w:b/>
                <w:bCs/>
                <w:sz w:val="22"/>
                <w:lang w:eastAsia="hr-HR"/>
              </w:rPr>
              <w:t>2</w:t>
            </w:r>
          </w:p>
        </w:tc>
      </w:tr>
      <w:tr w:rsidR="001D5EF7" w:rsidRPr="002A66DF" w:rsidTr="00222CA9">
        <w:trPr>
          <w:trHeight w:val="285"/>
        </w:trPr>
        <w:tc>
          <w:tcPr>
            <w:tcW w:w="2596" w:type="dxa"/>
            <w:vMerge/>
            <w:tcBorders>
              <w:top w:val="single" w:sz="4" w:space="0" w:color="auto"/>
              <w:left w:val="single" w:sz="4" w:space="0" w:color="auto"/>
              <w:bottom w:val="single" w:sz="4" w:space="0" w:color="000000"/>
              <w:right w:val="single" w:sz="4" w:space="0" w:color="auto"/>
            </w:tcBorders>
            <w:vAlign w:val="center"/>
            <w:hideMark/>
          </w:tcPr>
          <w:p w:rsidR="001D5EF7" w:rsidRPr="002A66DF" w:rsidRDefault="001D5EF7" w:rsidP="00222CA9">
            <w:pPr>
              <w:rPr>
                <w:rFonts w:ascii="Tahoma" w:hAnsi="Tahoma" w:cs="Tahoma"/>
                <w:b/>
                <w:bCs/>
                <w:lang w:eastAsia="hr-HR"/>
              </w:rPr>
            </w:pPr>
          </w:p>
        </w:tc>
        <w:tc>
          <w:tcPr>
            <w:tcW w:w="2126" w:type="dxa"/>
            <w:tcBorders>
              <w:top w:val="nil"/>
              <w:left w:val="nil"/>
              <w:bottom w:val="single" w:sz="4" w:space="0" w:color="auto"/>
              <w:right w:val="single" w:sz="4" w:space="0" w:color="auto"/>
            </w:tcBorders>
            <w:shd w:val="clear" w:color="auto" w:fill="auto"/>
            <w:vAlign w:val="bottom"/>
            <w:hideMark/>
          </w:tcPr>
          <w:p w:rsidR="001D5EF7" w:rsidRPr="002A66DF" w:rsidRDefault="005A213E" w:rsidP="00222CA9">
            <w:pPr>
              <w:jc w:val="right"/>
              <w:rPr>
                <w:rFonts w:ascii="Tahoma" w:hAnsi="Tahoma" w:cs="Tahoma"/>
                <w:sz w:val="22"/>
                <w:lang w:eastAsia="hr-HR"/>
              </w:rPr>
            </w:pPr>
            <w:r w:rsidRPr="002A66DF">
              <w:rPr>
                <w:rFonts w:ascii="Tahoma" w:hAnsi="Tahoma" w:cs="Tahoma"/>
                <w:sz w:val="22"/>
                <w:lang w:eastAsia="hr-HR"/>
              </w:rPr>
              <w:t>8.003.337</w:t>
            </w:r>
          </w:p>
        </w:tc>
        <w:tc>
          <w:tcPr>
            <w:tcW w:w="1843" w:type="dxa"/>
            <w:tcBorders>
              <w:top w:val="nil"/>
              <w:left w:val="nil"/>
              <w:bottom w:val="single" w:sz="4" w:space="0" w:color="auto"/>
              <w:right w:val="single" w:sz="4" w:space="0" w:color="auto"/>
            </w:tcBorders>
            <w:shd w:val="clear" w:color="auto" w:fill="auto"/>
            <w:vAlign w:val="bottom"/>
            <w:hideMark/>
          </w:tcPr>
          <w:p w:rsidR="001D5EF7" w:rsidRPr="002A66DF" w:rsidRDefault="005A213E" w:rsidP="00222CA9">
            <w:pPr>
              <w:jc w:val="right"/>
              <w:rPr>
                <w:rFonts w:ascii="Tahoma" w:hAnsi="Tahoma" w:cs="Tahoma"/>
                <w:sz w:val="22"/>
                <w:lang w:eastAsia="hr-HR"/>
              </w:rPr>
            </w:pPr>
            <w:r w:rsidRPr="002A66DF">
              <w:rPr>
                <w:rFonts w:ascii="Tahoma" w:hAnsi="Tahoma" w:cs="Tahoma"/>
                <w:sz w:val="22"/>
                <w:lang w:eastAsia="hr-HR"/>
              </w:rPr>
              <w:t>4.515.544</w:t>
            </w:r>
          </w:p>
        </w:tc>
        <w:tc>
          <w:tcPr>
            <w:tcW w:w="2268" w:type="dxa"/>
            <w:tcBorders>
              <w:top w:val="nil"/>
              <w:left w:val="nil"/>
              <w:bottom w:val="single" w:sz="4" w:space="0" w:color="auto"/>
              <w:right w:val="single" w:sz="4" w:space="0" w:color="auto"/>
            </w:tcBorders>
            <w:shd w:val="clear" w:color="auto" w:fill="auto"/>
            <w:vAlign w:val="bottom"/>
            <w:hideMark/>
          </w:tcPr>
          <w:p w:rsidR="001D5EF7" w:rsidRPr="002A66DF" w:rsidRDefault="005A213E" w:rsidP="00222CA9">
            <w:pPr>
              <w:jc w:val="right"/>
              <w:rPr>
                <w:rFonts w:ascii="Tahoma" w:hAnsi="Tahoma" w:cs="Tahoma"/>
                <w:sz w:val="22"/>
                <w:lang w:eastAsia="hr-HR"/>
              </w:rPr>
            </w:pPr>
            <w:r w:rsidRPr="002A66DF">
              <w:rPr>
                <w:rFonts w:ascii="Tahoma" w:hAnsi="Tahoma" w:cs="Tahoma"/>
                <w:sz w:val="22"/>
                <w:lang w:eastAsia="hr-HR"/>
              </w:rPr>
              <w:t>0</w:t>
            </w:r>
            <w:r w:rsidR="001D5EF7" w:rsidRPr="002A66DF">
              <w:rPr>
                <w:rFonts w:ascii="Tahoma" w:hAnsi="Tahoma" w:cs="Tahoma"/>
                <w:sz w:val="22"/>
                <w:lang w:eastAsia="hr-HR"/>
              </w:rPr>
              <w:t>,</w:t>
            </w:r>
            <w:r w:rsidRPr="002A66DF">
              <w:rPr>
                <w:rFonts w:ascii="Tahoma" w:hAnsi="Tahoma" w:cs="Tahoma"/>
                <w:sz w:val="22"/>
                <w:lang w:eastAsia="hr-HR"/>
              </w:rPr>
              <w:t>56</w:t>
            </w:r>
          </w:p>
        </w:tc>
      </w:tr>
    </w:tbl>
    <w:p w:rsidR="001D5EF7" w:rsidRPr="002A66DF" w:rsidRDefault="001D5EF7" w:rsidP="001D5EF7">
      <w:pPr>
        <w:spacing w:after="160"/>
        <w:jc w:val="both"/>
        <w:rPr>
          <w:rFonts w:ascii="Tahoma" w:hAnsi="Tahoma" w:cs="Tahoma"/>
          <w:b/>
        </w:rPr>
      </w:pPr>
    </w:p>
    <w:p w:rsidR="006D6477" w:rsidRPr="002A66DF" w:rsidRDefault="005A213E" w:rsidP="006211CB">
      <w:pPr>
        <w:jc w:val="both"/>
        <w:rPr>
          <w:rFonts w:ascii="Tahoma" w:hAnsi="Tahoma" w:cs="Tahoma"/>
          <w:sz w:val="22"/>
          <w:szCs w:val="22"/>
        </w:rPr>
      </w:pPr>
      <w:r w:rsidRPr="002A66DF">
        <w:rPr>
          <w:rFonts w:ascii="Tahoma" w:hAnsi="Tahoma" w:cs="Tahoma"/>
          <w:sz w:val="22"/>
          <w:szCs w:val="22"/>
        </w:rPr>
        <w:t>U 2023</w:t>
      </w:r>
      <w:r w:rsidR="001D5EF7" w:rsidRPr="002A66DF">
        <w:rPr>
          <w:rFonts w:ascii="Tahoma" w:hAnsi="Tahoma" w:cs="Tahoma"/>
          <w:sz w:val="22"/>
          <w:szCs w:val="22"/>
        </w:rPr>
        <w:t xml:space="preserve">. godini izdaci za utrošenu energiju </w:t>
      </w:r>
      <w:r w:rsidRPr="002A66DF">
        <w:rPr>
          <w:rFonts w:ascii="Tahoma" w:hAnsi="Tahoma" w:cs="Tahoma"/>
          <w:sz w:val="22"/>
          <w:szCs w:val="22"/>
        </w:rPr>
        <w:t>smanjili su za 43,6</w:t>
      </w:r>
      <w:r w:rsidR="001D5EF7" w:rsidRPr="002A66DF">
        <w:rPr>
          <w:rFonts w:ascii="Tahoma" w:hAnsi="Tahoma" w:cs="Tahoma"/>
          <w:sz w:val="22"/>
          <w:szCs w:val="22"/>
        </w:rPr>
        <w:t xml:space="preserve">% u odnosu na prethodnu godinu. U utrošenu energiju spadaju troškovi električne energije, tehnološke pare, trošak plina i goriva. Glavni uzrok </w:t>
      </w:r>
      <w:r w:rsidR="00947B47" w:rsidRPr="002A66DF">
        <w:rPr>
          <w:rFonts w:ascii="Tahoma" w:hAnsi="Tahoma" w:cs="Tahoma"/>
          <w:sz w:val="22"/>
          <w:szCs w:val="22"/>
        </w:rPr>
        <w:t>smanjenja</w:t>
      </w:r>
      <w:r w:rsidR="001D5EF7" w:rsidRPr="002A66DF">
        <w:rPr>
          <w:rFonts w:ascii="Tahoma" w:hAnsi="Tahoma" w:cs="Tahoma"/>
          <w:sz w:val="22"/>
          <w:szCs w:val="22"/>
        </w:rPr>
        <w:t xml:space="preserve"> ras</w:t>
      </w:r>
      <w:r w:rsidR="00947B47" w:rsidRPr="002A66DF">
        <w:rPr>
          <w:rFonts w:ascii="Tahoma" w:hAnsi="Tahoma" w:cs="Tahoma"/>
          <w:sz w:val="22"/>
          <w:szCs w:val="22"/>
        </w:rPr>
        <w:t xml:space="preserve">hoda za utrošenu energiju su projekti obnove od potresa bolnice Petrova 13, glavne zgrade KBC-a Zagreb, Žute zgrade u sklopu KBC-a Rebro te Klinike za plućne bolesti </w:t>
      </w:r>
      <w:proofErr w:type="spellStart"/>
      <w:r w:rsidR="00947B47" w:rsidRPr="002A66DF">
        <w:rPr>
          <w:rFonts w:ascii="Tahoma" w:hAnsi="Tahoma" w:cs="Tahoma"/>
          <w:sz w:val="22"/>
          <w:szCs w:val="22"/>
        </w:rPr>
        <w:t>Jordanovac</w:t>
      </w:r>
      <w:proofErr w:type="spellEnd"/>
      <w:r w:rsidR="00947B47" w:rsidRPr="002A66DF">
        <w:rPr>
          <w:rFonts w:ascii="Tahoma" w:hAnsi="Tahoma" w:cs="Tahoma"/>
          <w:sz w:val="22"/>
          <w:szCs w:val="22"/>
        </w:rPr>
        <w:t xml:space="preserve"> uslijed kojih </w:t>
      </w:r>
      <w:r w:rsidR="00070168" w:rsidRPr="002A66DF">
        <w:rPr>
          <w:rFonts w:ascii="Tahoma" w:hAnsi="Tahoma" w:cs="Tahoma"/>
          <w:sz w:val="22"/>
          <w:szCs w:val="22"/>
        </w:rPr>
        <w:t xml:space="preserve">su </w:t>
      </w:r>
      <w:r w:rsidR="00947B47" w:rsidRPr="002A66DF">
        <w:rPr>
          <w:rFonts w:ascii="Tahoma" w:hAnsi="Tahoma" w:cs="Tahoma"/>
          <w:sz w:val="22"/>
          <w:szCs w:val="22"/>
        </w:rPr>
        <w:t xml:space="preserve">spomenute lokacije </w:t>
      </w:r>
      <w:r w:rsidR="00070168" w:rsidRPr="002A66DF">
        <w:rPr>
          <w:rFonts w:ascii="Tahoma" w:hAnsi="Tahoma" w:cs="Tahoma"/>
          <w:sz w:val="22"/>
          <w:szCs w:val="22"/>
        </w:rPr>
        <w:t xml:space="preserve">u 2023. godini </w:t>
      </w:r>
      <w:r w:rsidR="00947B47" w:rsidRPr="002A66DF">
        <w:rPr>
          <w:rFonts w:ascii="Tahoma" w:hAnsi="Tahoma" w:cs="Tahoma"/>
          <w:sz w:val="22"/>
          <w:szCs w:val="22"/>
        </w:rPr>
        <w:t>ra</w:t>
      </w:r>
      <w:r w:rsidR="00070168" w:rsidRPr="002A66DF">
        <w:rPr>
          <w:rFonts w:ascii="Tahoma" w:hAnsi="Tahoma" w:cs="Tahoma"/>
          <w:sz w:val="22"/>
          <w:szCs w:val="22"/>
        </w:rPr>
        <w:t>dile</w:t>
      </w:r>
      <w:r w:rsidR="00947B47" w:rsidRPr="002A66DF">
        <w:rPr>
          <w:rFonts w:ascii="Tahoma" w:hAnsi="Tahoma" w:cs="Tahoma"/>
          <w:sz w:val="22"/>
          <w:szCs w:val="22"/>
        </w:rPr>
        <w:t xml:space="preserve"> smanjenim kapacitetom</w:t>
      </w:r>
      <w:r w:rsidR="00353EE2" w:rsidRPr="002A66DF">
        <w:rPr>
          <w:rFonts w:ascii="Tahoma" w:hAnsi="Tahoma" w:cs="Tahoma"/>
          <w:sz w:val="22"/>
          <w:szCs w:val="22"/>
        </w:rPr>
        <w:t>.</w:t>
      </w:r>
      <w:r w:rsidR="001D5EF7" w:rsidRPr="002A66DF">
        <w:rPr>
          <w:rFonts w:ascii="Tahoma" w:hAnsi="Tahoma" w:cs="Tahoma"/>
          <w:sz w:val="22"/>
          <w:szCs w:val="22"/>
        </w:rPr>
        <w:t xml:space="preserve"> </w:t>
      </w:r>
      <w:r w:rsidR="00070168" w:rsidRPr="002A66DF">
        <w:rPr>
          <w:rFonts w:ascii="Tahoma" w:hAnsi="Tahoma" w:cs="Tahoma"/>
          <w:sz w:val="22"/>
          <w:szCs w:val="22"/>
        </w:rPr>
        <w:t xml:space="preserve">Na smanjenje rashoda utjecaj je imala i </w:t>
      </w:r>
      <w:r w:rsidR="00070168" w:rsidRPr="00483516">
        <w:rPr>
          <w:rFonts w:ascii="Tahoma" w:hAnsi="Tahoma" w:cs="Tahoma"/>
          <w:sz w:val="22"/>
          <w:szCs w:val="22"/>
        </w:rPr>
        <w:t>Uredba</w:t>
      </w:r>
      <w:r w:rsidR="000B48E5" w:rsidRPr="00483516">
        <w:rPr>
          <w:rFonts w:ascii="Tahoma" w:hAnsi="Tahoma" w:cs="Tahoma"/>
          <w:sz w:val="22"/>
          <w:szCs w:val="22"/>
        </w:rPr>
        <w:t xml:space="preserve"> o otklanjanju poremećaja na domaćem </w:t>
      </w:r>
      <w:r w:rsidR="00145647" w:rsidRPr="00483516">
        <w:rPr>
          <w:rFonts w:ascii="Tahoma" w:hAnsi="Tahoma" w:cs="Tahoma"/>
          <w:sz w:val="22"/>
          <w:szCs w:val="22"/>
        </w:rPr>
        <w:t>tržišt</w:t>
      </w:r>
      <w:r w:rsidR="00070168" w:rsidRPr="00483516">
        <w:rPr>
          <w:rFonts w:ascii="Tahoma" w:hAnsi="Tahoma" w:cs="Tahoma"/>
          <w:sz w:val="22"/>
          <w:szCs w:val="22"/>
        </w:rPr>
        <w:t>u energije kojom se, zbog poremećaja na domaćem tržištu energije, uređuju posebne mjere za trgovinu električnom energijom, način i uvjeti formiranja cijena za određene kategorije kupaca električne energije i toplinske energije, nadzor nad primjenom cijena određenih ovom Uredbom, te posebni uvjeti obavljanja energetskih djelatnosti</w:t>
      </w:r>
      <w:r w:rsidR="000B48E5" w:rsidRPr="00483516">
        <w:rPr>
          <w:rFonts w:ascii="Tahoma" w:hAnsi="Tahoma" w:cs="Tahoma"/>
          <w:sz w:val="22"/>
          <w:szCs w:val="22"/>
        </w:rPr>
        <w:t>.</w:t>
      </w:r>
    </w:p>
    <w:p w:rsidR="00947B47" w:rsidRPr="002A66DF" w:rsidRDefault="00947B47" w:rsidP="006211CB">
      <w:pPr>
        <w:jc w:val="both"/>
        <w:rPr>
          <w:rFonts w:ascii="Tahoma" w:hAnsi="Tahoma" w:cs="Tahoma"/>
          <w:sz w:val="22"/>
          <w:szCs w:val="22"/>
        </w:rPr>
      </w:pPr>
    </w:p>
    <w:tbl>
      <w:tblPr>
        <w:tblW w:w="7120" w:type="dxa"/>
        <w:tblLook w:val="04A0" w:firstRow="1" w:lastRow="0" w:firstColumn="1" w:lastColumn="0" w:noHBand="0" w:noVBand="1"/>
      </w:tblPr>
      <w:tblGrid>
        <w:gridCol w:w="2220"/>
        <w:gridCol w:w="1600"/>
        <w:gridCol w:w="1740"/>
        <w:gridCol w:w="1560"/>
      </w:tblGrid>
      <w:tr w:rsidR="00947B47" w:rsidRPr="002A66DF" w:rsidTr="00947B47">
        <w:trPr>
          <w:trHeight w:val="315"/>
        </w:trPr>
        <w:tc>
          <w:tcPr>
            <w:tcW w:w="2220" w:type="dxa"/>
            <w:tcBorders>
              <w:top w:val="nil"/>
              <w:left w:val="nil"/>
              <w:bottom w:val="nil"/>
              <w:right w:val="nil"/>
            </w:tcBorders>
            <w:shd w:val="clear" w:color="auto" w:fill="auto"/>
            <w:noWrap/>
            <w:vAlign w:val="bottom"/>
            <w:hideMark/>
          </w:tcPr>
          <w:p w:rsidR="00947B47" w:rsidRPr="002A66DF" w:rsidRDefault="00947B47">
            <w:pPr>
              <w:rPr>
                <w:sz w:val="20"/>
                <w:szCs w:val="20"/>
                <w:lang w:eastAsia="hr-HR"/>
              </w:rPr>
            </w:pPr>
          </w:p>
        </w:tc>
        <w:tc>
          <w:tcPr>
            <w:tcW w:w="1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7B47" w:rsidRPr="002A66DF" w:rsidRDefault="00947B47">
            <w:pPr>
              <w:jc w:val="center"/>
              <w:rPr>
                <w:rFonts w:ascii="Tahoma" w:hAnsi="Tahoma" w:cs="Tahoma"/>
                <w:b/>
                <w:bCs/>
                <w:color w:val="000000"/>
                <w:sz w:val="22"/>
                <w:szCs w:val="22"/>
              </w:rPr>
            </w:pPr>
            <w:r w:rsidRPr="002A66DF">
              <w:rPr>
                <w:rFonts w:ascii="Tahoma" w:hAnsi="Tahoma" w:cs="Tahoma"/>
                <w:b/>
                <w:bCs/>
                <w:color w:val="000000"/>
                <w:sz w:val="22"/>
                <w:szCs w:val="22"/>
              </w:rPr>
              <w:t>2022</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rsidR="00947B47" w:rsidRPr="002A66DF" w:rsidRDefault="00947B47">
            <w:pPr>
              <w:jc w:val="center"/>
              <w:rPr>
                <w:rFonts w:ascii="Tahoma" w:hAnsi="Tahoma" w:cs="Tahoma"/>
                <w:b/>
                <w:bCs/>
                <w:color w:val="000000"/>
                <w:sz w:val="22"/>
                <w:szCs w:val="22"/>
              </w:rPr>
            </w:pPr>
            <w:r w:rsidRPr="002A66DF">
              <w:rPr>
                <w:rFonts w:ascii="Tahoma" w:hAnsi="Tahoma" w:cs="Tahoma"/>
                <w:b/>
                <w:bCs/>
                <w:color w:val="000000"/>
                <w:sz w:val="22"/>
                <w:szCs w:val="22"/>
              </w:rPr>
              <w:t>2023</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947B47" w:rsidRPr="002A66DF" w:rsidRDefault="00947B47">
            <w:pPr>
              <w:jc w:val="center"/>
              <w:rPr>
                <w:rFonts w:ascii="Tahoma" w:hAnsi="Tahoma" w:cs="Tahoma"/>
                <w:b/>
                <w:bCs/>
                <w:color w:val="000000"/>
                <w:sz w:val="22"/>
                <w:szCs w:val="22"/>
              </w:rPr>
            </w:pPr>
            <w:r w:rsidRPr="002A66DF">
              <w:rPr>
                <w:rFonts w:ascii="Tahoma" w:hAnsi="Tahoma" w:cs="Tahoma"/>
                <w:b/>
                <w:bCs/>
                <w:color w:val="000000"/>
                <w:sz w:val="22"/>
                <w:szCs w:val="22"/>
              </w:rPr>
              <w:t>Razlika</w:t>
            </w:r>
          </w:p>
        </w:tc>
      </w:tr>
      <w:tr w:rsidR="00947B47" w:rsidRPr="002A66DF" w:rsidTr="00947B47">
        <w:trPr>
          <w:trHeight w:val="315"/>
        </w:trPr>
        <w:tc>
          <w:tcPr>
            <w:tcW w:w="2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7B47" w:rsidRPr="002A66DF" w:rsidRDefault="00947B47">
            <w:pPr>
              <w:rPr>
                <w:rFonts w:ascii="Tahoma" w:hAnsi="Tahoma" w:cs="Tahoma"/>
                <w:color w:val="000000"/>
                <w:sz w:val="22"/>
                <w:szCs w:val="22"/>
              </w:rPr>
            </w:pPr>
            <w:r w:rsidRPr="002A66DF">
              <w:rPr>
                <w:rFonts w:ascii="Tahoma" w:hAnsi="Tahoma" w:cs="Tahoma"/>
                <w:color w:val="000000"/>
                <w:sz w:val="22"/>
                <w:szCs w:val="22"/>
              </w:rPr>
              <w:t>Električna energija</w:t>
            </w:r>
          </w:p>
        </w:tc>
        <w:tc>
          <w:tcPr>
            <w:tcW w:w="1600" w:type="dxa"/>
            <w:tcBorders>
              <w:top w:val="nil"/>
              <w:left w:val="nil"/>
              <w:bottom w:val="single" w:sz="8" w:space="0" w:color="auto"/>
              <w:right w:val="single" w:sz="8" w:space="0" w:color="auto"/>
            </w:tcBorders>
            <w:shd w:val="clear" w:color="auto" w:fill="auto"/>
            <w:noWrap/>
            <w:vAlign w:val="center"/>
            <w:hideMark/>
          </w:tcPr>
          <w:p w:rsidR="00947B47" w:rsidRPr="002A66DF" w:rsidRDefault="00947B47">
            <w:pPr>
              <w:jc w:val="right"/>
              <w:rPr>
                <w:rFonts w:ascii="Tahoma" w:hAnsi="Tahoma" w:cs="Tahoma"/>
                <w:color w:val="000000"/>
                <w:sz w:val="22"/>
                <w:szCs w:val="22"/>
              </w:rPr>
            </w:pPr>
            <w:r w:rsidRPr="002A66DF">
              <w:rPr>
                <w:rFonts w:ascii="Tahoma" w:hAnsi="Tahoma" w:cs="Tahoma"/>
                <w:color w:val="000000"/>
                <w:sz w:val="22"/>
                <w:szCs w:val="22"/>
              </w:rPr>
              <w:t>4.277.219</w:t>
            </w:r>
          </w:p>
        </w:tc>
        <w:tc>
          <w:tcPr>
            <w:tcW w:w="1740" w:type="dxa"/>
            <w:tcBorders>
              <w:top w:val="nil"/>
              <w:left w:val="nil"/>
              <w:bottom w:val="single" w:sz="8" w:space="0" w:color="auto"/>
              <w:right w:val="single" w:sz="8" w:space="0" w:color="auto"/>
            </w:tcBorders>
            <w:shd w:val="clear" w:color="auto" w:fill="auto"/>
            <w:noWrap/>
            <w:vAlign w:val="center"/>
            <w:hideMark/>
          </w:tcPr>
          <w:p w:rsidR="00947B47" w:rsidRPr="002A66DF" w:rsidRDefault="00947B47">
            <w:pPr>
              <w:jc w:val="right"/>
              <w:rPr>
                <w:rFonts w:ascii="Tahoma" w:hAnsi="Tahoma" w:cs="Tahoma"/>
                <w:color w:val="000000"/>
                <w:sz w:val="22"/>
                <w:szCs w:val="22"/>
              </w:rPr>
            </w:pPr>
            <w:r w:rsidRPr="002A66DF">
              <w:rPr>
                <w:rFonts w:ascii="Tahoma" w:hAnsi="Tahoma" w:cs="Tahoma"/>
                <w:color w:val="000000"/>
                <w:sz w:val="22"/>
                <w:szCs w:val="22"/>
              </w:rPr>
              <w:t>2.169.423</w:t>
            </w:r>
          </w:p>
        </w:tc>
        <w:tc>
          <w:tcPr>
            <w:tcW w:w="1560" w:type="dxa"/>
            <w:tcBorders>
              <w:top w:val="nil"/>
              <w:left w:val="nil"/>
              <w:bottom w:val="single" w:sz="8" w:space="0" w:color="auto"/>
              <w:right w:val="single" w:sz="8" w:space="0" w:color="auto"/>
            </w:tcBorders>
            <w:shd w:val="clear" w:color="auto" w:fill="auto"/>
            <w:noWrap/>
            <w:vAlign w:val="center"/>
            <w:hideMark/>
          </w:tcPr>
          <w:p w:rsidR="00947B47" w:rsidRPr="002A66DF" w:rsidRDefault="00947B47">
            <w:pPr>
              <w:jc w:val="right"/>
              <w:rPr>
                <w:rFonts w:ascii="Tahoma" w:hAnsi="Tahoma" w:cs="Tahoma"/>
                <w:color w:val="000000"/>
                <w:sz w:val="22"/>
                <w:szCs w:val="22"/>
              </w:rPr>
            </w:pPr>
            <w:r w:rsidRPr="002A66DF">
              <w:rPr>
                <w:rFonts w:ascii="Tahoma" w:hAnsi="Tahoma" w:cs="Tahoma"/>
                <w:color w:val="000000"/>
                <w:sz w:val="22"/>
                <w:szCs w:val="22"/>
              </w:rPr>
              <w:t>-2.107.796</w:t>
            </w:r>
          </w:p>
        </w:tc>
      </w:tr>
      <w:tr w:rsidR="00947B47" w:rsidRPr="002A66DF" w:rsidTr="00947B47">
        <w:trPr>
          <w:trHeight w:val="315"/>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rsidR="00947B47" w:rsidRPr="002A66DF" w:rsidRDefault="00947B47">
            <w:pPr>
              <w:rPr>
                <w:rFonts w:ascii="Tahoma" w:hAnsi="Tahoma" w:cs="Tahoma"/>
                <w:color w:val="000000"/>
                <w:sz w:val="22"/>
                <w:szCs w:val="22"/>
              </w:rPr>
            </w:pPr>
            <w:r w:rsidRPr="002A66DF">
              <w:rPr>
                <w:rFonts w:ascii="Tahoma" w:hAnsi="Tahoma" w:cs="Tahoma"/>
                <w:color w:val="000000"/>
                <w:sz w:val="22"/>
                <w:szCs w:val="22"/>
              </w:rPr>
              <w:t>Plin</w:t>
            </w:r>
          </w:p>
        </w:tc>
        <w:tc>
          <w:tcPr>
            <w:tcW w:w="1600" w:type="dxa"/>
            <w:tcBorders>
              <w:top w:val="nil"/>
              <w:left w:val="nil"/>
              <w:bottom w:val="single" w:sz="8" w:space="0" w:color="auto"/>
              <w:right w:val="single" w:sz="8" w:space="0" w:color="auto"/>
            </w:tcBorders>
            <w:shd w:val="clear" w:color="auto" w:fill="auto"/>
            <w:noWrap/>
            <w:vAlign w:val="center"/>
            <w:hideMark/>
          </w:tcPr>
          <w:p w:rsidR="00947B47" w:rsidRPr="002A66DF" w:rsidRDefault="00947B47">
            <w:pPr>
              <w:jc w:val="right"/>
              <w:rPr>
                <w:rFonts w:ascii="Tahoma" w:hAnsi="Tahoma" w:cs="Tahoma"/>
                <w:color w:val="000000"/>
                <w:sz w:val="22"/>
                <w:szCs w:val="22"/>
              </w:rPr>
            </w:pPr>
            <w:r w:rsidRPr="002A66DF">
              <w:rPr>
                <w:rFonts w:ascii="Tahoma" w:hAnsi="Tahoma" w:cs="Tahoma"/>
                <w:color w:val="000000"/>
                <w:sz w:val="22"/>
                <w:szCs w:val="22"/>
              </w:rPr>
              <w:t>1.295.033</w:t>
            </w:r>
          </w:p>
        </w:tc>
        <w:tc>
          <w:tcPr>
            <w:tcW w:w="1740" w:type="dxa"/>
            <w:tcBorders>
              <w:top w:val="nil"/>
              <w:left w:val="nil"/>
              <w:bottom w:val="single" w:sz="8" w:space="0" w:color="auto"/>
              <w:right w:val="single" w:sz="8" w:space="0" w:color="auto"/>
            </w:tcBorders>
            <w:shd w:val="clear" w:color="auto" w:fill="auto"/>
            <w:noWrap/>
            <w:vAlign w:val="center"/>
            <w:hideMark/>
          </w:tcPr>
          <w:p w:rsidR="00947B47" w:rsidRPr="002A66DF" w:rsidRDefault="00947B47">
            <w:pPr>
              <w:jc w:val="right"/>
              <w:rPr>
                <w:rFonts w:ascii="Tahoma" w:hAnsi="Tahoma" w:cs="Tahoma"/>
                <w:color w:val="000000"/>
                <w:sz w:val="22"/>
                <w:szCs w:val="22"/>
              </w:rPr>
            </w:pPr>
            <w:r w:rsidRPr="002A66DF">
              <w:rPr>
                <w:rFonts w:ascii="Tahoma" w:hAnsi="Tahoma" w:cs="Tahoma"/>
                <w:color w:val="000000"/>
                <w:sz w:val="22"/>
                <w:szCs w:val="22"/>
              </w:rPr>
              <w:t>380.122</w:t>
            </w:r>
          </w:p>
        </w:tc>
        <w:tc>
          <w:tcPr>
            <w:tcW w:w="1560" w:type="dxa"/>
            <w:tcBorders>
              <w:top w:val="nil"/>
              <w:left w:val="nil"/>
              <w:bottom w:val="single" w:sz="8" w:space="0" w:color="auto"/>
              <w:right w:val="single" w:sz="8" w:space="0" w:color="auto"/>
            </w:tcBorders>
            <w:shd w:val="clear" w:color="auto" w:fill="auto"/>
            <w:noWrap/>
            <w:vAlign w:val="center"/>
            <w:hideMark/>
          </w:tcPr>
          <w:p w:rsidR="00947B47" w:rsidRPr="002A66DF" w:rsidRDefault="00947B47">
            <w:pPr>
              <w:jc w:val="right"/>
              <w:rPr>
                <w:rFonts w:ascii="Tahoma" w:hAnsi="Tahoma" w:cs="Tahoma"/>
                <w:color w:val="000000"/>
                <w:sz w:val="22"/>
                <w:szCs w:val="22"/>
              </w:rPr>
            </w:pPr>
            <w:r w:rsidRPr="002A66DF">
              <w:rPr>
                <w:rFonts w:ascii="Tahoma" w:hAnsi="Tahoma" w:cs="Tahoma"/>
                <w:color w:val="000000"/>
                <w:sz w:val="22"/>
                <w:szCs w:val="22"/>
              </w:rPr>
              <w:t>-914.911</w:t>
            </w:r>
          </w:p>
        </w:tc>
      </w:tr>
      <w:tr w:rsidR="00947B47" w:rsidRPr="002A66DF" w:rsidTr="00947B47">
        <w:trPr>
          <w:trHeight w:val="315"/>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rsidR="00947B47" w:rsidRPr="002A66DF" w:rsidRDefault="00947B47">
            <w:pPr>
              <w:rPr>
                <w:rFonts w:ascii="Tahoma" w:hAnsi="Tahoma" w:cs="Tahoma"/>
                <w:color w:val="000000"/>
                <w:sz w:val="22"/>
                <w:szCs w:val="22"/>
              </w:rPr>
            </w:pPr>
            <w:r w:rsidRPr="002A66DF">
              <w:rPr>
                <w:rFonts w:ascii="Tahoma" w:hAnsi="Tahoma" w:cs="Tahoma"/>
                <w:color w:val="000000"/>
                <w:sz w:val="22"/>
                <w:szCs w:val="22"/>
              </w:rPr>
              <w:t>Tehnološka para</w:t>
            </w:r>
          </w:p>
        </w:tc>
        <w:tc>
          <w:tcPr>
            <w:tcW w:w="1600" w:type="dxa"/>
            <w:tcBorders>
              <w:top w:val="nil"/>
              <w:left w:val="nil"/>
              <w:bottom w:val="single" w:sz="8" w:space="0" w:color="auto"/>
              <w:right w:val="single" w:sz="8" w:space="0" w:color="auto"/>
            </w:tcBorders>
            <w:shd w:val="clear" w:color="auto" w:fill="auto"/>
            <w:noWrap/>
            <w:vAlign w:val="center"/>
            <w:hideMark/>
          </w:tcPr>
          <w:p w:rsidR="00947B47" w:rsidRPr="002A66DF" w:rsidRDefault="00947B47">
            <w:pPr>
              <w:jc w:val="right"/>
              <w:rPr>
                <w:rFonts w:ascii="Tahoma" w:hAnsi="Tahoma" w:cs="Tahoma"/>
                <w:color w:val="000000"/>
                <w:sz w:val="22"/>
                <w:szCs w:val="22"/>
              </w:rPr>
            </w:pPr>
            <w:r w:rsidRPr="002A66DF">
              <w:rPr>
                <w:rFonts w:ascii="Tahoma" w:hAnsi="Tahoma" w:cs="Tahoma"/>
                <w:color w:val="000000"/>
                <w:sz w:val="22"/>
                <w:szCs w:val="22"/>
              </w:rPr>
              <w:t>2.396.125</w:t>
            </w:r>
          </w:p>
        </w:tc>
        <w:tc>
          <w:tcPr>
            <w:tcW w:w="1740" w:type="dxa"/>
            <w:tcBorders>
              <w:top w:val="nil"/>
              <w:left w:val="nil"/>
              <w:bottom w:val="single" w:sz="8" w:space="0" w:color="auto"/>
              <w:right w:val="single" w:sz="8" w:space="0" w:color="auto"/>
            </w:tcBorders>
            <w:shd w:val="clear" w:color="auto" w:fill="auto"/>
            <w:noWrap/>
            <w:vAlign w:val="center"/>
            <w:hideMark/>
          </w:tcPr>
          <w:p w:rsidR="00947B47" w:rsidRPr="002A66DF" w:rsidRDefault="00947B47">
            <w:pPr>
              <w:jc w:val="right"/>
              <w:rPr>
                <w:rFonts w:ascii="Tahoma" w:hAnsi="Tahoma" w:cs="Tahoma"/>
                <w:color w:val="000000"/>
                <w:sz w:val="22"/>
                <w:szCs w:val="22"/>
              </w:rPr>
            </w:pPr>
            <w:r w:rsidRPr="002A66DF">
              <w:rPr>
                <w:rFonts w:ascii="Tahoma" w:hAnsi="Tahoma" w:cs="Tahoma"/>
                <w:color w:val="000000"/>
                <w:sz w:val="22"/>
                <w:szCs w:val="22"/>
              </w:rPr>
              <w:t>1.934.179</w:t>
            </w:r>
          </w:p>
        </w:tc>
        <w:tc>
          <w:tcPr>
            <w:tcW w:w="1560" w:type="dxa"/>
            <w:tcBorders>
              <w:top w:val="nil"/>
              <w:left w:val="nil"/>
              <w:bottom w:val="single" w:sz="8" w:space="0" w:color="auto"/>
              <w:right w:val="single" w:sz="8" w:space="0" w:color="auto"/>
            </w:tcBorders>
            <w:shd w:val="clear" w:color="auto" w:fill="auto"/>
            <w:noWrap/>
            <w:vAlign w:val="center"/>
            <w:hideMark/>
          </w:tcPr>
          <w:p w:rsidR="00947B47" w:rsidRPr="002A66DF" w:rsidRDefault="00947B47">
            <w:pPr>
              <w:jc w:val="right"/>
              <w:rPr>
                <w:rFonts w:ascii="Tahoma" w:hAnsi="Tahoma" w:cs="Tahoma"/>
                <w:color w:val="000000"/>
                <w:sz w:val="22"/>
                <w:szCs w:val="22"/>
              </w:rPr>
            </w:pPr>
            <w:r w:rsidRPr="002A66DF">
              <w:rPr>
                <w:rFonts w:ascii="Tahoma" w:hAnsi="Tahoma" w:cs="Tahoma"/>
                <w:color w:val="000000"/>
                <w:sz w:val="22"/>
                <w:szCs w:val="22"/>
              </w:rPr>
              <w:t>-461.946</w:t>
            </w:r>
          </w:p>
        </w:tc>
      </w:tr>
      <w:tr w:rsidR="00947B47" w:rsidRPr="002A66DF" w:rsidTr="00947B47">
        <w:trPr>
          <w:trHeight w:val="315"/>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rsidR="00947B47" w:rsidRPr="002A66DF" w:rsidRDefault="00947B47">
            <w:pPr>
              <w:rPr>
                <w:rFonts w:ascii="Tahoma" w:hAnsi="Tahoma" w:cs="Tahoma"/>
                <w:color w:val="000000"/>
                <w:sz w:val="22"/>
                <w:szCs w:val="22"/>
              </w:rPr>
            </w:pPr>
            <w:r w:rsidRPr="002A66DF">
              <w:rPr>
                <w:rFonts w:ascii="Tahoma" w:hAnsi="Tahoma" w:cs="Tahoma"/>
                <w:color w:val="000000"/>
                <w:sz w:val="22"/>
                <w:szCs w:val="22"/>
              </w:rPr>
              <w:t>Ostalo</w:t>
            </w:r>
          </w:p>
        </w:tc>
        <w:tc>
          <w:tcPr>
            <w:tcW w:w="1600" w:type="dxa"/>
            <w:tcBorders>
              <w:top w:val="nil"/>
              <w:left w:val="nil"/>
              <w:bottom w:val="single" w:sz="8" w:space="0" w:color="auto"/>
              <w:right w:val="single" w:sz="8" w:space="0" w:color="auto"/>
            </w:tcBorders>
            <w:shd w:val="clear" w:color="auto" w:fill="auto"/>
            <w:noWrap/>
            <w:vAlign w:val="center"/>
            <w:hideMark/>
          </w:tcPr>
          <w:p w:rsidR="00947B47" w:rsidRPr="002A66DF" w:rsidRDefault="00947B47">
            <w:pPr>
              <w:jc w:val="right"/>
              <w:rPr>
                <w:rFonts w:ascii="Tahoma" w:hAnsi="Tahoma" w:cs="Tahoma"/>
                <w:color w:val="000000"/>
                <w:sz w:val="22"/>
                <w:szCs w:val="22"/>
              </w:rPr>
            </w:pPr>
            <w:r w:rsidRPr="002A66DF">
              <w:rPr>
                <w:rFonts w:ascii="Tahoma" w:hAnsi="Tahoma" w:cs="Tahoma"/>
                <w:color w:val="000000"/>
                <w:sz w:val="22"/>
                <w:szCs w:val="22"/>
              </w:rPr>
              <w:t>34.960</w:t>
            </w:r>
          </w:p>
        </w:tc>
        <w:tc>
          <w:tcPr>
            <w:tcW w:w="1740" w:type="dxa"/>
            <w:tcBorders>
              <w:top w:val="nil"/>
              <w:left w:val="nil"/>
              <w:bottom w:val="single" w:sz="8" w:space="0" w:color="auto"/>
              <w:right w:val="single" w:sz="8" w:space="0" w:color="auto"/>
            </w:tcBorders>
            <w:shd w:val="clear" w:color="auto" w:fill="auto"/>
            <w:noWrap/>
            <w:vAlign w:val="center"/>
            <w:hideMark/>
          </w:tcPr>
          <w:p w:rsidR="00947B47" w:rsidRPr="002A66DF" w:rsidRDefault="00947B47">
            <w:pPr>
              <w:jc w:val="right"/>
              <w:rPr>
                <w:rFonts w:ascii="Tahoma" w:hAnsi="Tahoma" w:cs="Tahoma"/>
                <w:color w:val="000000"/>
                <w:sz w:val="22"/>
                <w:szCs w:val="22"/>
              </w:rPr>
            </w:pPr>
            <w:r w:rsidRPr="002A66DF">
              <w:rPr>
                <w:rFonts w:ascii="Tahoma" w:hAnsi="Tahoma" w:cs="Tahoma"/>
                <w:color w:val="000000"/>
                <w:sz w:val="22"/>
                <w:szCs w:val="22"/>
              </w:rPr>
              <w:t>31.820</w:t>
            </w:r>
          </w:p>
        </w:tc>
        <w:tc>
          <w:tcPr>
            <w:tcW w:w="1560" w:type="dxa"/>
            <w:tcBorders>
              <w:top w:val="nil"/>
              <w:left w:val="nil"/>
              <w:bottom w:val="single" w:sz="8" w:space="0" w:color="auto"/>
              <w:right w:val="single" w:sz="8" w:space="0" w:color="auto"/>
            </w:tcBorders>
            <w:shd w:val="clear" w:color="auto" w:fill="auto"/>
            <w:noWrap/>
            <w:vAlign w:val="center"/>
            <w:hideMark/>
          </w:tcPr>
          <w:p w:rsidR="00947B47" w:rsidRPr="002A66DF" w:rsidRDefault="00947B47">
            <w:pPr>
              <w:jc w:val="right"/>
              <w:rPr>
                <w:rFonts w:ascii="Tahoma" w:hAnsi="Tahoma" w:cs="Tahoma"/>
                <w:color w:val="000000"/>
                <w:sz w:val="22"/>
                <w:szCs w:val="22"/>
              </w:rPr>
            </w:pPr>
            <w:r w:rsidRPr="002A66DF">
              <w:rPr>
                <w:rFonts w:ascii="Tahoma" w:hAnsi="Tahoma" w:cs="Tahoma"/>
                <w:color w:val="000000"/>
                <w:sz w:val="22"/>
                <w:szCs w:val="22"/>
              </w:rPr>
              <w:t>-3.140</w:t>
            </w:r>
          </w:p>
        </w:tc>
      </w:tr>
      <w:tr w:rsidR="00947B47" w:rsidRPr="002A66DF" w:rsidTr="00947B47">
        <w:trPr>
          <w:trHeight w:val="315"/>
        </w:trPr>
        <w:tc>
          <w:tcPr>
            <w:tcW w:w="2220" w:type="dxa"/>
            <w:tcBorders>
              <w:top w:val="nil"/>
              <w:left w:val="single" w:sz="8" w:space="0" w:color="auto"/>
              <w:bottom w:val="single" w:sz="8" w:space="0" w:color="auto"/>
              <w:right w:val="single" w:sz="8" w:space="0" w:color="auto"/>
            </w:tcBorders>
            <w:shd w:val="clear" w:color="auto" w:fill="auto"/>
            <w:noWrap/>
            <w:vAlign w:val="center"/>
            <w:hideMark/>
          </w:tcPr>
          <w:p w:rsidR="00947B47" w:rsidRPr="002A66DF" w:rsidRDefault="00947B47">
            <w:pPr>
              <w:rPr>
                <w:rFonts w:ascii="Tahoma" w:hAnsi="Tahoma" w:cs="Tahoma"/>
                <w:b/>
                <w:bCs/>
                <w:color w:val="000000"/>
                <w:sz w:val="22"/>
                <w:szCs w:val="22"/>
              </w:rPr>
            </w:pPr>
            <w:r w:rsidRPr="002A66DF">
              <w:rPr>
                <w:rFonts w:ascii="Tahoma" w:hAnsi="Tahoma" w:cs="Tahoma"/>
                <w:b/>
                <w:bCs/>
                <w:color w:val="000000"/>
                <w:sz w:val="22"/>
                <w:szCs w:val="22"/>
              </w:rPr>
              <w:t>UKUPNO</w:t>
            </w:r>
          </w:p>
        </w:tc>
        <w:tc>
          <w:tcPr>
            <w:tcW w:w="1600" w:type="dxa"/>
            <w:tcBorders>
              <w:top w:val="nil"/>
              <w:left w:val="nil"/>
              <w:bottom w:val="single" w:sz="8" w:space="0" w:color="auto"/>
              <w:right w:val="single" w:sz="8" w:space="0" w:color="auto"/>
            </w:tcBorders>
            <w:shd w:val="clear" w:color="auto" w:fill="auto"/>
            <w:noWrap/>
            <w:vAlign w:val="center"/>
            <w:hideMark/>
          </w:tcPr>
          <w:p w:rsidR="00947B47" w:rsidRPr="002A66DF" w:rsidRDefault="00947B47">
            <w:pPr>
              <w:jc w:val="right"/>
              <w:rPr>
                <w:rFonts w:ascii="Tahoma" w:hAnsi="Tahoma" w:cs="Tahoma"/>
                <w:b/>
                <w:bCs/>
                <w:color w:val="000000"/>
                <w:sz w:val="22"/>
                <w:szCs w:val="22"/>
              </w:rPr>
            </w:pPr>
            <w:r w:rsidRPr="002A66DF">
              <w:rPr>
                <w:rFonts w:ascii="Tahoma" w:hAnsi="Tahoma" w:cs="Tahoma"/>
                <w:b/>
                <w:bCs/>
                <w:color w:val="000000"/>
                <w:sz w:val="22"/>
                <w:szCs w:val="22"/>
              </w:rPr>
              <w:t>8.003.337</w:t>
            </w:r>
          </w:p>
        </w:tc>
        <w:tc>
          <w:tcPr>
            <w:tcW w:w="1740" w:type="dxa"/>
            <w:tcBorders>
              <w:top w:val="nil"/>
              <w:left w:val="nil"/>
              <w:bottom w:val="single" w:sz="8" w:space="0" w:color="auto"/>
              <w:right w:val="single" w:sz="8" w:space="0" w:color="auto"/>
            </w:tcBorders>
            <w:shd w:val="clear" w:color="auto" w:fill="auto"/>
            <w:noWrap/>
            <w:vAlign w:val="center"/>
            <w:hideMark/>
          </w:tcPr>
          <w:p w:rsidR="00947B47" w:rsidRPr="002A66DF" w:rsidRDefault="00947B47">
            <w:pPr>
              <w:jc w:val="right"/>
              <w:rPr>
                <w:rFonts w:ascii="Tahoma" w:hAnsi="Tahoma" w:cs="Tahoma"/>
                <w:b/>
                <w:bCs/>
                <w:color w:val="000000"/>
                <w:sz w:val="22"/>
                <w:szCs w:val="22"/>
              </w:rPr>
            </w:pPr>
            <w:r w:rsidRPr="002A66DF">
              <w:rPr>
                <w:rFonts w:ascii="Tahoma" w:hAnsi="Tahoma" w:cs="Tahoma"/>
                <w:b/>
                <w:bCs/>
                <w:color w:val="000000"/>
                <w:sz w:val="22"/>
                <w:szCs w:val="22"/>
              </w:rPr>
              <w:t>4.515.544</w:t>
            </w:r>
          </w:p>
        </w:tc>
        <w:tc>
          <w:tcPr>
            <w:tcW w:w="1560" w:type="dxa"/>
            <w:tcBorders>
              <w:top w:val="nil"/>
              <w:left w:val="nil"/>
              <w:bottom w:val="single" w:sz="8" w:space="0" w:color="auto"/>
              <w:right w:val="single" w:sz="8" w:space="0" w:color="auto"/>
            </w:tcBorders>
            <w:shd w:val="clear" w:color="auto" w:fill="auto"/>
            <w:noWrap/>
            <w:vAlign w:val="center"/>
            <w:hideMark/>
          </w:tcPr>
          <w:p w:rsidR="00947B47" w:rsidRPr="002A66DF" w:rsidRDefault="00947B47">
            <w:pPr>
              <w:jc w:val="right"/>
              <w:rPr>
                <w:rFonts w:ascii="Tahoma" w:hAnsi="Tahoma" w:cs="Tahoma"/>
                <w:b/>
                <w:bCs/>
                <w:color w:val="000000"/>
                <w:sz w:val="22"/>
                <w:szCs w:val="22"/>
              </w:rPr>
            </w:pPr>
            <w:r w:rsidRPr="002A66DF">
              <w:rPr>
                <w:rFonts w:ascii="Tahoma" w:hAnsi="Tahoma" w:cs="Tahoma"/>
                <w:b/>
                <w:bCs/>
                <w:color w:val="000000"/>
                <w:sz w:val="22"/>
                <w:szCs w:val="22"/>
              </w:rPr>
              <w:t>-3.487.793</w:t>
            </w:r>
          </w:p>
        </w:tc>
      </w:tr>
    </w:tbl>
    <w:p w:rsidR="00165067" w:rsidRDefault="00165067" w:rsidP="006211CB">
      <w:pPr>
        <w:jc w:val="both"/>
        <w:rPr>
          <w:rFonts w:ascii="Tahoma" w:hAnsi="Tahoma" w:cs="Tahoma"/>
          <w:b/>
          <w:sz w:val="22"/>
          <w:szCs w:val="22"/>
        </w:rPr>
      </w:pPr>
    </w:p>
    <w:p w:rsidR="00165067" w:rsidRDefault="00165067" w:rsidP="006211CB">
      <w:pPr>
        <w:jc w:val="both"/>
        <w:rPr>
          <w:rFonts w:ascii="Tahoma" w:hAnsi="Tahoma" w:cs="Tahoma"/>
          <w:b/>
          <w:sz w:val="22"/>
          <w:szCs w:val="22"/>
        </w:rPr>
      </w:pPr>
    </w:p>
    <w:p w:rsidR="00165067" w:rsidRDefault="00165067" w:rsidP="006211CB">
      <w:pPr>
        <w:jc w:val="both"/>
        <w:rPr>
          <w:rFonts w:ascii="Tahoma" w:hAnsi="Tahoma" w:cs="Tahoma"/>
          <w:b/>
          <w:sz w:val="22"/>
          <w:szCs w:val="22"/>
        </w:rPr>
      </w:pPr>
    </w:p>
    <w:p w:rsidR="00165067" w:rsidRDefault="00165067" w:rsidP="006211CB">
      <w:pPr>
        <w:jc w:val="both"/>
        <w:rPr>
          <w:rFonts w:ascii="Tahoma" w:hAnsi="Tahoma" w:cs="Tahoma"/>
          <w:b/>
          <w:sz w:val="22"/>
          <w:szCs w:val="22"/>
        </w:rPr>
      </w:pPr>
    </w:p>
    <w:p w:rsidR="00165067" w:rsidRPr="002A66DF" w:rsidRDefault="00165067" w:rsidP="006211CB">
      <w:pPr>
        <w:jc w:val="both"/>
        <w:rPr>
          <w:rFonts w:ascii="Tahoma" w:hAnsi="Tahoma" w:cs="Tahoma"/>
          <w:b/>
          <w:sz w:val="22"/>
          <w:szCs w:val="22"/>
        </w:rPr>
      </w:pPr>
    </w:p>
    <w:p w:rsidR="001D5EF7" w:rsidRPr="002A66DF" w:rsidRDefault="001D5EF7" w:rsidP="001D5EF7">
      <w:pPr>
        <w:pStyle w:val="ListParagraph"/>
        <w:numPr>
          <w:ilvl w:val="0"/>
          <w:numId w:val="6"/>
        </w:numPr>
        <w:jc w:val="both"/>
        <w:rPr>
          <w:rFonts w:ascii="Tahoma" w:hAnsi="Tahoma" w:cs="Tahoma"/>
          <w:b/>
          <w:sz w:val="22"/>
          <w:szCs w:val="22"/>
        </w:rPr>
      </w:pPr>
      <w:r w:rsidRPr="002A66DF">
        <w:rPr>
          <w:rFonts w:ascii="Tahoma" w:hAnsi="Tahoma" w:cs="Tahoma"/>
          <w:b/>
          <w:sz w:val="22"/>
          <w:szCs w:val="22"/>
        </w:rPr>
        <w:lastRenderedPageBreak/>
        <w:t>Usluge tekućeg i investicijskog održavanja</w:t>
      </w:r>
      <w:r w:rsidR="007A1281" w:rsidRPr="002A66DF">
        <w:rPr>
          <w:rFonts w:ascii="Tahoma" w:hAnsi="Tahoma" w:cs="Tahoma"/>
          <w:b/>
          <w:sz w:val="22"/>
          <w:szCs w:val="22"/>
        </w:rPr>
        <w:t xml:space="preserve"> (Šifra 3232)</w:t>
      </w:r>
    </w:p>
    <w:p w:rsidR="001D5EF7" w:rsidRPr="002A66DF" w:rsidRDefault="001D5EF7" w:rsidP="001D5EF7">
      <w:pPr>
        <w:pStyle w:val="ListParagraph"/>
        <w:jc w:val="both"/>
        <w:rPr>
          <w:rFonts w:ascii="Tahoma" w:hAnsi="Tahoma" w:cs="Tahoma"/>
          <w:sz w:val="22"/>
          <w:szCs w:val="22"/>
        </w:rPr>
      </w:pPr>
    </w:p>
    <w:tbl>
      <w:tblPr>
        <w:tblW w:w="9214" w:type="dxa"/>
        <w:tblInd w:w="-5" w:type="dxa"/>
        <w:tblLook w:val="04A0" w:firstRow="1" w:lastRow="0" w:firstColumn="1" w:lastColumn="0" w:noHBand="0" w:noVBand="1"/>
      </w:tblPr>
      <w:tblGrid>
        <w:gridCol w:w="2947"/>
        <w:gridCol w:w="2156"/>
        <w:gridCol w:w="1985"/>
        <w:gridCol w:w="2126"/>
      </w:tblGrid>
      <w:tr w:rsidR="001D5EF7" w:rsidRPr="002A66DF" w:rsidTr="00222CA9">
        <w:trPr>
          <w:trHeight w:val="570"/>
        </w:trPr>
        <w:tc>
          <w:tcPr>
            <w:tcW w:w="29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EF7" w:rsidRPr="002A66DF" w:rsidRDefault="0026075A" w:rsidP="0026075A">
            <w:pPr>
              <w:jc w:val="center"/>
              <w:rPr>
                <w:rFonts w:ascii="Tahoma" w:hAnsi="Tahoma" w:cs="Tahoma"/>
                <w:b/>
                <w:bCs/>
                <w:sz w:val="22"/>
                <w:szCs w:val="22"/>
                <w:lang w:eastAsia="hr-HR"/>
              </w:rPr>
            </w:pPr>
            <w:r w:rsidRPr="002A66DF">
              <w:rPr>
                <w:rFonts w:ascii="Tahoma" w:hAnsi="Tahoma" w:cs="Tahoma"/>
                <w:b/>
                <w:bCs/>
                <w:sz w:val="20"/>
                <w:szCs w:val="22"/>
                <w:lang w:eastAsia="hr-HR"/>
              </w:rPr>
              <w:t>Usluge tekućeg i investicijskog održavanja</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1D5EF7" w:rsidRPr="002A66DF" w:rsidRDefault="001D5EF7" w:rsidP="00222CA9">
            <w:pPr>
              <w:jc w:val="center"/>
              <w:rPr>
                <w:rFonts w:ascii="Tahoma" w:hAnsi="Tahoma" w:cs="Tahoma"/>
                <w:b/>
                <w:bCs/>
                <w:sz w:val="22"/>
                <w:szCs w:val="22"/>
                <w:lang w:eastAsia="hr-HR"/>
              </w:rPr>
            </w:pPr>
            <w:r w:rsidRPr="002A66DF">
              <w:rPr>
                <w:rFonts w:ascii="Tahoma" w:hAnsi="Tahoma" w:cs="Tahoma"/>
                <w:b/>
                <w:bCs/>
                <w:sz w:val="22"/>
                <w:szCs w:val="22"/>
                <w:lang w:eastAsia="hr-HR"/>
              </w:rPr>
              <w:t xml:space="preserve">Izvršenje </w:t>
            </w:r>
            <w:r w:rsidRPr="002A66DF">
              <w:rPr>
                <w:rFonts w:ascii="Tahoma" w:hAnsi="Tahoma" w:cs="Tahoma"/>
                <w:b/>
                <w:bCs/>
                <w:sz w:val="22"/>
                <w:szCs w:val="22"/>
                <w:lang w:eastAsia="hr-HR"/>
              </w:rPr>
              <w:br/>
              <w:t>202</w:t>
            </w:r>
            <w:r w:rsidR="0026075A" w:rsidRPr="002A66DF">
              <w:rPr>
                <w:rFonts w:ascii="Tahoma" w:hAnsi="Tahoma" w:cs="Tahoma"/>
                <w:b/>
                <w:bCs/>
                <w:sz w:val="22"/>
                <w:szCs w:val="22"/>
                <w:lang w:eastAsia="hr-HR"/>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6075A" w:rsidRPr="002A66DF" w:rsidRDefault="001D5EF7" w:rsidP="0026075A">
            <w:pPr>
              <w:jc w:val="center"/>
              <w:rPr>
                <w:rFonts w:ascii="Tahoma" w:hAnsi="Tahoma" w:cs="Tahoma"/>
                <w:b/>
                <w:bCs/>
                <w:sz w:val="22"/>
                <w:szCs w:val="22"/>
                <w:lang w:eastAsia="hr-HR"/>
              </w:rPr>
            </w:pPr>
            <w:r w:rsidRPr="002A66DF">
              <w:rPr>
                <w:rFonts w:ascii="Tahoma" w:hAnsi="Tahoma" w:cs="Tahoma"/>
                <w:b/>
                <w:bCs/>
                <w:sz w:val="22"/>
                <w:szCs w:val="22"/>
                <w:lang w:eastAsia="hr-HR"/>
              </w:rPr>
              <w:t xml:space="preserve">Izvršenje </w:t>
            </w:r>
            <w:r w:rsidRPr="002A66DF">
              <w:rPr>
                <w:rFonts w:ascii="Tahoma" w:hAnsi="Tahoma" w:cs="Tahoma"/>
                <w:b/>
                <w:bCs/>
                <w:sz w:val="22"/>
                <w:szCs w:val="22"/>
                <w:lang w:eastAsia="hr-HR"/>
              </w:rPr>
              <w:br/>
              <w:t>202</w:t>
            </w:r>
            <w:r w:rsidR="0026075A" w:rsidRPr="002A66DF">
              <w:rPr>
                <w:rFonts w:ascii="Tahoma" w:hAnsi="Tahoma" w:cs="Tahoma"/>
                <w:b/>
                <w:bCs/>
                <w:sz w:val="22"/>
                <w:szCs w:val="22"/>
                <w:lang w:eastAsia="hr-HR"/>
              </w:rPr>
              <w:t>3</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D5EF7" w:rsidRPr="002A66DF" w:rsidRDefault="001D5EF7" w:rsidP="0026075A">
            <w:pPr>
              <w:jc w:val="center"/>
              <w:rPr>
                <w:rFonts w:ascii="Tahoma" w:hAnsi="Tahoma" w:cs="Tahoma"/>
                <w:b/>
                <w:bCs/>
                <w:sz w:val="22"/>
                <w:szCs w:val="22"/>
                <w:lang w:eastAsia="hr-HR"/>
              </w:rPr>
            </w:pPr>
            <w:r w:rsidRPr="002A66DF">
              <w:rPr>
                <w:rFonts w:ascii="Tahoma" w:hAnsi="Tahoma" w:cs="Tahoma"/>
                <w:b/>
                <w:bCs/>
                <w:sz w:val="22"/>
                <w:szCs w:val="22"/>
                <w:lang w:eastAsia="hr-HR"/>
              </w:rPr>
              <w:t>Indeks</w:t>
            </w:r>
            <w:r w:rsidRPr="002A66DF">
              <w:rPr>
                <w:rFonts w:ascii="Tahoma" w:hAnsi="Tahoma" w:cs="Tahoma"/>
                <w:b/>
                <w:bCs/>
                <w:sz w:val="22"/>
                <w:szCs w:val="22"/>
                <w:lang w:eastAsia="hr-HR"/>
              </w:rPr>
              <w:br/>
              <w:t>202</w:t>
            </w:r>
            <w:r w:rsidR="0026075A" w:rsidRPr="002A66DF">
              <w:rPr>
                <w:rFonts w:ascii="Tahoma" w:hAnsi="Tahoma" w:cs="Tahoma"/>
                <w:b/>
                <w:bCs/>
                <w:sz w:val="22"/>
                <w:szCs w:val="22"/>
                <w:lang w:eastAsia="hr-HR"/>
              </w:rPr>
              <w:t>3</w:t>
            </w:r>
            <w:r w:rsidRPr="002A66DF">
              <w:rPr>
                <w:rFonts w:ascii="Tahoma" w:hAnsi="Tahoma" w:cs="Tahoma"/>
                <w:b/>
                <w:bCs/>
                <w:sz w:val="22"/>
                <w:szCs w:val="22"/>
                <w:lang w:eastAsia="hr-HR"/>
              </w:rPr>
              <w:t>/202</w:t>
            </w:r>
            <w:r w:rsidR="0026075A" w:rsidRPr="002A66DF">
              <w:rPr>
                <w:rFonts w:ascii="Tahoma" w:hAnsi="Tahoma" w:cs="Tahoma"/>
                <w:b/>
                <w:bCs/>
                <w:sz w:val="22"/>
                <w:szCs w:val="22"/>
                <w:lang w:eastAsia="hr-HR"/>
              </w:rPr>
              <w:t>2</w:t>
            </w:r>
          </w:p>
        </w:tc>
      </w:tr>
      <w:tr w:rsidR="001D5EF7" w:rsidRPr="002A66DF" w:rsidTr="00222CA9">
        <w:trPr>
          <w:trHeight w:val="285"/>
        </w:trPr>
        <w:tc>
          <w:tcPr>
            <w:tcW w:w="2947" w:type="dxa"/>
            <w:vMerge/>
            <w:tcBorders>
              <w:top w:val="single" w:sz="4" w:space="0" w:color="auto"/>
              <w:left w:val="single" w:sz="4" w:space="0" w:color="auto"/>
              <w:bottom w:val="single" w:sz="4" w:space="0" w:color="000000"/>
              <w:right w:val="single" w:sz="4" w:space="0" w:color="auto"/>
            </w:tcBorders>
            <w:vAlign w:val="center"/>
            <w:hideMark/>
          </w:tcPr>
          <w:p w:rsidR="001D5EF7" w:rsidRPr="002A66DF" w:rsidRDefault="001D5EF7" w:rsidP="00222CA9">
            <w:pPr>
              <w:rPr>
                <w:rFonts w:ascii="Tahoma" w:hAnsi="Tahoma" w:cs="Tahoma"/>
                <w:b/>
                <w:bCs/>
                <w:sz w:val="22"/>
                <w:szCs w:val="22"/>
                <w:lang w:eastAsia="hr-HR"/>
              </w:rPr>
            </w:pPr>
          </w:p>
        </w:tc>
        <w:tc>
          <w:tcPr>
            <w:tcW w:w="2156" w:type="dxa"/>
            <w:tcBorders>
              <w:top w:val="nil"/>
              <w:left w:val="nil"/>
              <w:bottom w:val="single" w:sz="4" w:space="0" w:color="auto"/>
              <w:right w:val="single" w:sz="4" w:space="0" w:color="auto"/>
            </w:tcBorders>
            <w:shd w:val="clear" w:color="auto" w:fill="auto"/>
            <w:vAlign w:val="bottom"/>
            <w:hideMark/>
          </w:tcPr>
          <w:p w:rsidR="001D5EF7" w:rsidRPr="002A66DF" w:rsidRDefault="0026075A" w:rsidP="00222CA9">
            <w:pPr>
              <w:jc w:val="right"/>
              <w:rPr>
                <w:rFonts w:ascii="Tahoma" w:hAnsi="Tahoma" w:cs="Tahoma"/>
                <w:sz w:val="22"/>
                <w:szCs w:val="22"/>
                <w:lang w:eastAsia="hr-HR"/>
              </w:rPr>
            </w:pPr>
            <w:r w:rsidRPr="002A66DF">
              <w:rPr>
                <w:rFonts w:ascii="Tahoma" w:hAnsi="Tahoma" w:cs="Tahoma"/>
                <w:sz w:val="22"/>
                <w:szCs w:val="22"/>
                <w:lang w:eastAsia="hr-HR"/>
              </w:rPr>
              <w:t>8.472.922</w:t>
            </w:r>
          </w:p>
        </w:tc>
        <w:tc>
          <w:tcPr>
            <w:tcW w:w="1985" w:type="dxa"/>
            <w:tcBorders>
              <w:top w:val="nil"/>
              <w:left w:val="nil"/>
              <w:bottom w:val="single" w:sz="4" w:space="0" w:color="auto"/>
              <w:right w:val="single" w:sz="4" w:space="0" w:color="auto"/>
            </w:tcBorders>
            <w:shd w:val="clear" w:color="auto" w:fill="auto"/>
            <w:vAlign w:val="bottom"/>
            <w:hideMark/>
          </w:tcPr>
          <w:p w:rsidR="001D5EF7" w:rsidRPr="002A66DF" w:rsidRDefault="0026075A" w:rsidP="00222CA9">
            <w:pPr>
              <w:jc w:val="right"/>
              <w:rPr>
                <w:rFonts w:ascii="Tahoma" w:hAnsi="Tahoma" w:cs="Tahoma"/>
                <w:sz w:val="22"/>
                <w:szCs w:val="22"/>
                <w:lang w:eastAsia="hr-HR"/>
              </w:rPr>
            </w:pPr>
            <w:r w:rsidRPr="002A66DF">
              <w:rPr>
                <w:rFonts w:ascii="Tahoma" w:hAnsi="Tahoma" w:cs="Tahoma"/>
                <w:sz w:val="22"/>
                <w:szCs w:val="22"/>
                <w:lang w:eastAsia="hr-HR"/>
              </w:rPr>
              <w:t>11.226.593</w:t>
            </w:r>
          </w:p>
        </w:tc>
        <w:tc>
          <w:tcPr>
            <w:tcW w:w="2126" w:type="dxa"/>
            <w:tcBorders>
              <w:top w:val="nil"/>
              <w:left w:val="nil"/>
              <w:bottom w:val="single" w:sz="4" w:space="0" w:color="auto"/>
              <w:right w:val="single" w:sz="4" w:space="0" w:color="auto"/>
            </w:tcBorders>
            <w:shd w:val="clear" w:color="auto" w:fill="auto"/>
            <w:vAlign w:val="bottom"/>
            <w:hideMark/>
          </w:tcPr>
          <w:p w:rsidR="001D5EF7" w:rsidRPr="002A66DF" w:rsidRDefault="0026075A" w:rsidP="00222CA9">
            <w:pPr>
              <w:jc w:val="right"/>
              <w:rPr>
                <w:rFonts w:ascii="Tahoma" w:hAnsi="Tahoma" w:cs="Tahoma"/>
                <w:sz w:val="22"/>
                <w:szCs w:val="22"/>
                <w:lang w:eastAsia="hr-HR"/>
              </w:rPr>
            </w:pPr>
            <w:r w:rsidRPr="002A66DF">
              <w:rPr>
                <w:rFonts w:ascii="Tahoma" w:hAnsi="Tahoma" w:cs="Tahoma"/>
                <w:sz w:val="22"/>
                <w:szCs w:val="22"/>
                <w:lang w:eastAsia="hr-HR"/>
              </w:rPr>
              <w:t>1,32</w:t>
            </w:r>
          </w:p>
        </w:tc>
      </w:tr>
    </w:tbl>
    <w:p w:rsidR="001D5EF7" w:rsidRPr="002A66DF" w:rsidRDefault="001D5EF7" w:rsidP="001D5EF7">
      <w:pPr>
        <w:jc w:val="both"/>
        <w:rPr>
          <w:rFonts w:ascii="Tahoma" w:hAnsi="Tahoma" w:cs="Tahoma"/>
          <w:b/>
          <w:sz w:val="22"/>
          <w:szCs w:val="22"/>
        </w:rPr>
      </w:pPr>
    </w:p>
    <w:p w:rsidR="001D5EF7" w:rsidRPr="002A66DF" w:rsidRDefault="001D5EF7" w:rsidP="001D5EF7">
      <w:pPr>
        <w:jc w:val="both"/>
        <w:rPr>
          <w:rFonts w:ascii="Tahoma" w:hAnsi="Tahoma" w:cs="Tahoma"/>
          <w:sz w:val="22"/>
          <w:szCs w:val="22"/>
        </w:rPr>
      </w:pPr>
      <w:r w:rsidRPr="002A66DF">
        <w:rPr>
          <w:rFonts w:ascii="Tahoma" w:hAnsi="Tahoma" w:cs="Tahoma"/>
          <w:sz w:val="22"/>
          <w:szCs w:val="22"/>
        </w:rPr>
        <w:t>U 202</w:t>
      </w:r>
      <w:r w:rsidR="0026075A" w:rsidRPr="002A66DF">
        <w:rPr>
          <w:rFonts w:ascii="Tahoma" w:hAnsi="Tahoma" w:cs="Tahoma"/>
          <w:sz w:val="22"/>
          <w:szCs w:val="22"/>
        </w:rPr>
        <w:t>3</w:t>
      </w:r>
      <w:r w:rsidRPr="002A66DF">
        <w:rPr>
          <w:rFonts w:ascii="Tahoma" w:hAnsi="Tahoma" w:cs="Tahoma"/>
          <w:sz w:val="22"/>
          <w:szCs w:val="22"/>
        </w:rPr>
        <w:t xml:space="preserve">. godini izdaci za </w:t>
      </w:r>
      <w:r w:rsidR="0026075A" w:rsidRPr="002A66DF">
        <w:rPr>
          <w:rFonts w:ascii="Tahoma" w:hAnsi="Tahoma" w:cs="Tahoma"/>
          <w:sz w:val="22"/>
          <w:szCs w:val="22"/>
        </w:rPr>
        <w:t xml:space="preserve">usluge </w:t>
      </w:r>
      <w:r w:rsidRPr="002A66DF">
        <w:rPr>
          <w:rFonts w:ascii="Tahoma" w:hAnsi="Tahoma" w:cs="Tahoma"/>
          <w:sz w:val="22"/>
          <w:szCs w:val="22"/>
        </w:rPr>
        <w:t>tekuće</w:t>
      </w:r>
      <w:r w:rsidR="0026075A" w:rsidRPr="002A66DF">
        <w:rPr>
          <w:rFonts w:ascii="Tahoma" w:hAnsi="Tahoma" w:cs="Tahoma"/>
          <w:sz w:val="22"/>
          <w:szCs w:val="22"/>
        </w:rPr>
        <w:t>g</w:t>
      </w:r>
      <w:r w:rsidRPr="002A66DF">
        <w:rPr>
          <w:rFonts w:ascii="Tahoma" w:hAnsi="Tahoma" w:cs="Tahoma"/>
          <w:sz w:val="22"/>
          <w:szCs w:val="22"/>
        </w:rPr>
        <w:t xml:space="preserve"> i investicijsko</w:t>
      </w:r>
      <w:r w:rsidR="0026075A" w:rsidRPr="002A66DF">
        <w:rPr>
          <w:rFonts w:ascii="Tahoma" w:hAnsi="Tahoma" w:cs="Tahoma"/>
          <w:sz w:val="22"/>
          <w:szCs w:val="22"/>
        </w:rPr>
        <w:t>g</w:t>
      </w:r>
      <w:r w:rsidRPr="002A66DF">
        <w:rPr>
          <w:rFonts w:ascii="Tahoma" w:hAnsi="Tahoma" w:cs="Tahoma"/>
          <w:sz w:val="22"/>
          <w:szCs w:val="22"/>
        </w:rPr>
        <w:t xml:space="preserve"> održavanje povećali su se za 3</w:t>
      </w:r>
      <w:r w:rsidR="0026075A" w:rsidRPr="002A66DF">
        <w:rPr>
          <w:rFonts w:ascii="Tahoma" w:hAnsi="Tahoma" w:cs="Tahoma"/>
          <w:sz w:val="22"/>
          <w:szCs w:val="22"/>
        </w:rPr>
        <w:t>2</w:t>
      </w:r>
      <w:r w:rsidRPr="002A66DF">
        <w:rPr>
          <w:rFonts w:ascii="Tahoma" w:hAnsi="Tahoma" w:cs="Tahoma"/>
          <w:sz w:val="22"/>
          <w:szCs w:val="22"/>
        </w:rPr>
        <w:t>,</w:t>
      </w:r>
      <w:r w:rsidR="0026075A" w:rsidRPr="002A66DF">
        <w:rPr>
          <w:rFonts w:ascii="Tahoma" w:hAnsi="Tahoma" w:cs="Tahoma"/>
          <w:sz w:val="22"/>
          <w:szCs w:val="22"/>
        </w:rPr>
        <w:t>5</w:t>
      </w:r>
      <w:r w:rsidRPr="002A66DF">
        <w:rPr>
          <w:rFonts w:ascii="Tahoma" w:hAnsi="Tahoma" w:cs="Tahoma"/>
          <w:sz w:val="22"/>
          <w:szCs w:val="22"/>
        </w:rPr>
        <w:t xml:space="preserve">% u odnosu na prethodnu godinu. </w:t>
      </w:r>
      <w:r w:rsidR="00222CA9" w:rsidRPr="002A66DF">
        <w:rPr>
          <w:rFonts w:ascii="Tahoma" w:hAnsi="Tahoma" w:cs="Tahoma"/>
          <w:sz w:val="22"/>
          <w:szCs w:val="22"/>
        </w:rPr>
        <w:t xml:space="preserve">Povećanje </w:t>
      </w:r>
      <w:r w:rsidR="005D6B01" w:rsidRPr="002A66DF">
        <w:rPr>
          <w:rFonts w:ascii="Tahoma" w:hAnsi="Tahoma" w:cs="Tahoma"/>
          <w:sz w:val="22"/>
          <w:szCs w:val="22"/>
        </w:rPr>
        <w:t xml:space="preserve">rashoda </w:t>
      </w:r>
      <w:r w:rsidR="00222CA9" w:rsidRPr="002A66DF">
        <w:rPr>
          <w:rFonts w:ascii="Tahoma" w:hAnsi="Tahoma" w:cs="Tahoma"/>
          <w:sz w:val="22"/>
          <w:szCs w:val="22"/>
        </w:rPr>
        <w:t>je rezultat sklopljenog Ugovora</w:t>
      </w:r>
      <w:r w:rsidR="005D6B01" w:rsidRPr="002A66DF">
        <w:rPr>
          <w:rFonts w:ascii="Tahoma" w:hAnsi="Tahoma" w:cs="Tahoma"/>
          <w:sz w:val="22"/>
          <w:szCs w:val="22"/>
        </w:rPr>
        <w:t xml:space="preserve"> (2. studenog 2022. godine)</w:t>
      </w:r>
      <w:r w:rsidR="00222CA9" w:rsidRPr="002A66DF">
        <w:rPr>
          <w:rFonts w:ascii="Tahoma" w:hAnsi="Tahoma" w:cs="Tahoma"/>
          <w:sz w:val="22"/>
          <w:szCs w:val="22"/>
        </w:rPr>
        <w:t xml:space="preserve"> za vođenje, nadzor i održavanje primarnog i sekundarnog termo-energetskog kruga KBC-a Zagreb </w:t>
      </w:r>
      <w:r w:rsidR="005D6B01" w:rsidRPr="002A66DF">
        <w:rPr>
          <w:rFonts w:ascii="Tahoma" w:hAnsi="Tahoma" w:cs="Tahoma"/>
          <w:sz w:val="22"/>
          <w:szCs w:val="22"/>
        </w:rPr>
        <w:t xml:space="preserve">između HEP Toplinarstva i KBC-a Zagreb radi preventivnog i korektivnog održavanja u mjesečnom iznosu </w:t>
      </w:r>
      <w:r w:rsidR="0026075A" w:rsidRPr="002A66DF">
        <w:rPr>
          <w:rFonts w:ascii="Tahoma" w:hAnsi="Tahoma" w:cs="Tahoma"/>
          <w:sz w:val="22"/>
          <w:szCs w:val="22"/>
        </w:rPr>
        <w:t>265.654 EUR</w:t>
      </w:r>
      <w:r w:rsidR="005D6B01" w:rsidRPr="002A66DF">
        <w:rPr>
          <w:rFonts w:ascii="Tahoma" w:hAnsi="Tahoma" w:cs="Tahoma"/>
          <w:sz w:val="22"/>
          <w:szCs w:val="22"/>
        </w:rPr>
        <w:t>.</w:t>
      </w:r>
    </w:p>
    <w:p w:rsidR="0021431B" w:rsidRPr="002A66DF" w:rsidRDefault="0021431B" w:rsidP="001D5EF7">
      <w:pPr>
        <w:jc w:val="both"/>
        <w:rPr>
          <w:rFonts w:ascii="Tahoma" w:hAnsi="Tahoma" w:cs="Tahoma"/>
          <w:sz w:val="22"/>
          <w:szCs w:val="22"/>
        </w:rPr>
      </w:pPr>
    </w:p>
    <w:p w:rsidR="001D5EF7" w:rsidRPr="002A66DF" w:rsidRDefault="00477489" w:rsidP="001D5EF7">
      <w:pPr>
        <w:pStyle w:val="ListParagraph"/>
        <w:numPr>
          <w:ilvl w:val="0"/>
          <w:numId w:val="6"/>
        </w:numPr>
        <w:jc w:val="both"/>
        <w:rPr>
          <w:rFonts w:ascii="Tahoma" w:hAnsi="Tahoma" w:cs="Tahoma"/>
          <w:b/>
          <w:sz w:val="22"/>
          <w:szCs w:val="22"/>
        </w:rPr>
      </w:pPr>
      <w:r w:rsidRPr="002A66DF">
        <w:rPr>
          <w:rFonts w:ascii="Tahoma" w:hAnsi="Tahoma" w:cs="Tahoma"/>
          <w:b/>
          <w:sz w:val="22"/>
          <w:szCs w:val="22"/>
        </w:rPr>
        <w:t xml:space="preserve">Zdravstvene i veterinarske usluge </w:t>
      </w:r>
      <w:r w:rsidR="00C2329F" w:rsidRPr="002A66DF">
        <w:rPr>
          <w:rFonts w:ascii="Tahoma" w:hAnsi="Tahoma" w:cs="Tahoma"/>
          <w:b/>
          <w:sz w:val="22"/>
          <w:szCs w:val="22"/>
        </w:rPr>
        <w:t>(Šifra 3236)</w:t>
      </w:r>
    </w:p>
    <w:p w:rsidR="001D5EF7" w:rsidRPr="002A66DF" w:rsidRDefault="001D5EF7" w:rsidP="001D5EF7">
      <w:pPr>
        <w:jc w:val="both"/>
        <w:rPr>
          <w:rFonts w:ascii="Tahoma" w:hAnsi="Tahoma" w:cs="Tahoma"/>
          <w:sz w:val="22"/>
          <w:szCs w:val="22"/>
        </w:rPr>
      </w:pPr>
    </w:p>
    <w:tbl>
      <w:tblPr>
        <w:tblW w:w="9214" w:type="dxa"/>
        <w:tblInd w:w="-5" w:type="dxa"/>
        <w:tblLook w:val="04A0" w:firstRow="1" w:lastRow="0" w:firstColumn="1" w:lastColumn="0" w:noHBand="0" w:noVBand="1"/>
      </w:tblPr>
      <w:tblGrid>
        <w:gridCol w:w="3261"/>
        <w:gridCol w:w="1984"/>
        <w:gridCol w:w="1843"/>
        <w:gridCol w:w="2126"/>
      </w:tblGrid>
      <w:tr w:rsidR="001D5EF7" w:rsidRPr="002A66DF" w:rsidTr="00222CA9">
        <w:trPr>
          <w:trHeight w:val="570"/>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5EF7" w:rsidRPr="002A66DF" w:rsidRDefault="00313F5F" w:rsidP="00477489">
            <w:pPr>
              <w:jc w:val="center"/>
              <w:rPr>
                <w:rFonts w:ascii="Tahoma" w:hAnsi="Tahoma" w:cs="Tahoma"/>
                <w:b/>
                <w:bCs/>
                <w:sz w:val="20"/>
                <w:szCs w:val="20"/>
                <w:lang w:eastAsia="hr-HR"/>
              </w:rPr>
            </w:pPr>
            <w:r w:rsidRPr="002A66DF">
              <w:rPr>
                <w:rFonts w:ascii="Tahoma" w:hAnsi="Tahoma" w:cs="Tahoma"/>
                <w:b/>
                <w:bCs/>
                <w:sz w:val="20"/>
                <w:szCs w:val="20"/>
                <w:lang w:eastAsia="hr-HR"/>
              </w:rPr>
              <w:t>Zdravstvene i veterinarske usluge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D5EF7" w:rsidRPr="002A66DF" w:rsidRDefault="001D5EF7" w:rsidP="00222CA9">
            <w:pPr>
              <w:jc w:val="center"/>
              <w:rPr>
                <w:rFonts w:ascii="Tahoma" w:hAnsi="Tahoma" w:cs="Tahoma"/>
                <w:b/>
                <w:bCs/>
                <w:sz w:val="22"/>
                <w:lang w:eastAsia="hr-HR"/>
              </w:rPr>
            </w:pPr>
            <w:r w:rsidRPr="002A66DF">
              <w:rPr>
                <w:rFonts w:ascii="Tahoma" w:hAnsi="Tahoma" w:cs="Tahoma"/>
                <w:b/>
                <w:bCs/>
                <w:sz w:val="22"/>
                <w:lang w:eastAsia="hr-HR"/>
              </w:rPr>
              <w:t xml:space="preserve">Izvršenje </w:t>
            </w:r>
            <w:r w:rsidRPr="002A66DF">
              <w:rPr>
                <w:rFonts w:ascii="Tahoma" w:hAnsi="Tahoma" w:cs="Tahoma"/>
                <w:b/>
                <w:bCs/>
                <w:sz w:val="22"/>
                <w:lang w:eastAsia="hr-HR"/>
              </w:rPr>
              <w:br/>
              <w:t>202</w:t>
            </w:r>
            <w:r w:rsidR="00477489" w:rsidRPr="002A66DF">
              <w:rPr>
                <w:rFonts w:ascii="Tahoma" w:hAnsi="Tahoma" w:cs="Tahoma"/>
                <w:b/>
                <w:bCs/>
                <w:sz w:val="22"/>
                <w:lang w:eastAsia="hr-HR"/>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D5EF7" w:rsidRPr="002A66DF" w:rsidRDefault="001D5EF7" w:rsidP="00222CA9">
            <w:pPr>
              <w:jc w:val="center"/>
              <w:rPr>
                <w:rFonts w:ascii="Tahoma" w:hAnsi="Tahoma" w:cs="Tahoma"/>
                <w:b/>
                <w:bCs/>
                <w:sz w:val="22"/>
                <w:lang w:eastAsia="hr-HR"/>
              </w:rPr>
            </w:pPr>
            <w:r w:rsidRPr="002A66DF">
              <w:rPr>
                <w:rFonts w:ascii="Tahoma" w:hAnsi="Tahoma" w:cs="Tahoma"/>
                <w:b/>
                <w:bCs/>
                <w:sz w:val="22"/>
                <w:lang w:eastAsia="hr-HR"/>
              </w:rPr>
              <w:t>Izvršenje  202</w:t>
            </w:r>
            <w:r w:rsidR="00477489" w:rsidRPr="002A66DF">
              <w:rPr>
                <w:rFonts w:ascii="Tahoma" w:hAnsi="Tahoma" w:cs="Tahoma"/>
                <w:b/>
                <w:bCs/>
                <w:sz w:val="22"/>
                <w:lang w:eastAsia="hr-HR"/>
              </w:rPr>
              <w:t>3</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D5EF7" w:rsidRPr="002A66DF" w:rsidRDefault="001D5EF7" w:rsidP="00222CA9">
            <w:pPr>
              <w:jc w:val="center"/>
              <w:rPr>
                <w:rFonts w:ascii="Tahoma" w:hAnsi="Tahoma" w:cs="Tahoma"/>
                <w:b/>
                <w:bCs/>
                <w:sz w:val="22"/>
                <w:lang w:eastAsia="hr-HR"/>
              </w:rPr>
            </w:pPr>
            <w:r w:rsidRPr="002A66DF">
              <w:rPr>
                <w:rFonts w:ascii="Tahoma" w:hAnsi="Tahoma" w:cs="Tahoma"/>
                <w:b/>
                <w:bCs/>
                <w:sz w:val="22"/>
                <w:lang w:eastAsia="hr-HR"/>
              </w:rPr>
              <w:t>Indeks</w:t>
            </w:r>
            <w:r w:rsidRPr="002A66DF">
              <w:rPr>
                <w:rFonts w:ascii="Tahoma" w:hAnsi="Tahoma" w:cs="Tahoma"/>
                <w:b/>
                <w:bCs/>
                <w:sz w:val="22"/>
                <w:lang w:eastAsia="hr-HR"/>
              </w:rPr>
              <w:br/>
              <w:t>202</w:t>
            </w:r>
            <w:r w:rsidR="00477489" w:rsidRPr="002A66DF">
              <w:rPr>
                <w:rFonts w:ascii="Tahoma" w:hAnsi="Tahoma" w:cs="Tahoma"/>
                <w:b/>
                <w:bCs/>
                <w:sz w:val="22"/>
                <w:lang w:eastAsia="hr-HR"/>
              </w:rPr>
              <w:t>3</w:t>
            </w:r>
            <w:r w:rsidRPr="002A66DF">
              <w:rPr>
                <w:rFonts w:ascii="Tahoma" w:hAnsi="Tahoma" w:cs="Tahoma"/>
                <w:b/>
                <w:bCs/>
                <w:sz w:val="22"/>
                <w:lang w:eastAsia="hr-HR"/>
              </w:rPr>
              <w:t>/202</w:t>
            </w:r>
            <w:r w:rsidR="00477489" w:rsidRPr="002A66DF">
              <w:rPr>
                <w:rFonts w:ascii="Tahoma" w:hAnsi="Tahoma" w:cs="Tahoma"/>
                <w:b/>
                <w:bCs/>
                <w:sz w:val="22"/>
                <w:lang w:eastAsia="hr-HR"/>
              </w:rPr>
              <w:t>2</w:t>
            </w:r>
          </w:p>
        </w:tc>
      </w:tr>
      <w:tr w:rsidR="001D5EF7" w:rsidRPr="002A66DF" w:rsidTr="00222CA9">
        <w:trPr>
          <w:trHeight w:val="285"/>
        </w:trPr>
        <w:tc>
          <w:tcPr>
            <w:tcW w:w="3261" w:type="dxa"/>
            <w:vMerge/>
            <w:tcBorders>
              <w:top w:val="single" w:sz="4" w:space="0" w:color="auto"/>
              <w:left w:val="single" w:sz="4" w:space="0" w:color="auto"/>
              <w:bottom w:val="single" w:sz="4" w:space="0" w:color="000000"/>
              <w:right w:val="single" w:sz="4" w:space="0" w:color="auto"/>
            </w:tcBorders>
            <w:vAlign w:val="center"/>
            <w:hideMark/>
          </w:tcPr>
          <w:p w:rsidR="001D5EF7" w:rsidRPr="002A66DF" w:rsidRDefault="001D5EF7" w:rsidP="00222CA9">
            <w:pPr>
              <w:rPr>
                <w:rFonts w:ascii="Tahoma" w:hAnsi="Tahoma" w:cs="Tahoma"/>
                <w:b/>
                <w:bCs/>
                <w:sz w:val="22"/>
                <w:lang w:eastAsia="hr-HR"/>
              </w:rPr>
            </w:pPr>
          </w:p>
        </w:tc>
        <w:tc>
          <w:tcPr>
            <w:tcW w:w="1984" w:type="dxa"/>
            <w:tcBorders>
              <w:top w:val="nil"/>
              <w:left w:val="nil"/>
              <w:bottom w:val="single" w:sz="4" w:space="0" w:color="auto"/>
              <w:right w:val="single" w:sz="4" w:space="0" w:color="auto"/>
            </w:tcBorders>
            <w:shd w:val="clear" w:color="auto" w:fill="auto"/>
            <w:vAlign w:val="bottom"/>
            <w:hideMark/>
          </w:tcPr>
          <w:p w:rsidR="001D5EF7" w:rsidRPr="002A66DF" w:rsidRDefault="00477489" w:rsidP="00222CA9">
            <w:pPr>
              <w:jc w:val="right"/>
              <w:rPr>
                <w:rFonts w:ascii="Tahoma" w:hAnsi="Tahoma" w:cs="Tahoma"/>
                <w:sz w:val="22"/>
                <w:lang w:eastAsia="hr-HR"/>
              </w:rPr>
            </w:pPr>
            <w:r w:rsidRPr="002A66DF">
              <w:rPr>
                <w:rFonts w:ascii="Tahoma" w:hAnsi="Tahoma" w:cs="Tahoma"/>
                <w:sz w:val="22"/>
                <w:lang w:eastAsia="hr-HR"/>
              </w:rPr>
              <w:t>1.144.454</w:t>
            </w:r>
          </w:p>
        </w:tc>
        <w:tc>
          <w:tcPr>
            <w:tcW w:w="1843" w:type="dxa"/>
            <w:tcBorders>
              <w:top w:val="nil"/>
              <w:left w:val="nil"/>
              <w:bottom w:val="single" w:sz="4" w:space="0" w:color="auto"/>
              <w:right w:val="single" w:sz="4" w:space="0" w:color="auto"/>
            </w:tcBorders>
            <w:shd w:val="clear" w:color="auto" w:fill="auto"/>
            <w:vAlign w:val="bottom"/>
            <w:hideMark/>
          </w:tcPr>
          <w:p w:rsidR="001D5EF7" w:rsidRPr="002A66DF" w:rsidRDefault="00477489" w:rsidP="00222CA9">
            <w:pPr>
              <w:jc w:val="right"/>
              <w:rPr>
                <w:rFonts w:ascii="Tahoma" w:hAnsi="Tahoma" w:cs="Tahoma"/>
                <w:sz w:val="22"/>
                <w:lang w:eastAsia="hr-HR"/>
              </w:rPr>
            </w:pPr>
            <w:r w:rsidRPr="002A66DF">
              <w:rPr>
                <w:rFonts w:ascii="Tahoma" w:hAnsi="Tahoma" w:cs="Tahoma"/>
                <w:sz w:val="22"/>
                <w:lang w:eastAsia="hr-HR"/>
              </w:rPr>
              <w:t>2.020.601</w:t>
            </w:r>
          </w:p>
        </w:tc>
        <w:tc>
          <w:tcPr>
            <w:tcW w:w="2126" w:type="dxa"/>
            <w:tcBorders>
              <w:top w:val="nil"/>
              <w:left w:val="nil"/>
              <w:bottom w:val="single" w:sz="4" w:space="0" w:color="auto"/>
              <w:right w:val="single" w:sz="4" w:space="0" w:color="auto"/>
            </w:tcBorders>
            <w:shd w:val="clear" w:color="auto" w:fill="auto"/>
            <w:vAlign w:val="bottom"/>
            <w:hideMark/>
          </w:tcPr>
          <w:p w:rsidR="001D5EF7" w:rsidRPr="002A66DF" w:rsidRDefault="001D5EF7" w:rsidP="00222CA9">
            <w:pPr>
              <w:jc w:val="right"/>
              <w:rPr>
                <w:rFonts w:ascii="Tahoma" w:hAnsi="Tahoma" w:cs="Tahoma"/>
                <w:sz w:val="22"/>
                <w:lang w:eastAsia="hr-HR"/>
              </w:rPr>
            </w:pPr>
            <w:r w:rsidRPr="002A66DF">
              <w:rPr>
                <w:rFonts w:ascii="Tahoma" w:hAnsi="Tahoma" w:cs="Tahoma"/>
                <w:sz w:val="22"/>
                <w:lang w:eastAsia="hr-HR"/>
              </w:rPr>
              <w:t>1,</w:t>
            </w:r>
            <w:r w:rsidR="00477489" w:rsidRPr="002A66DF">
              <w:rPr>
                <w:rFonts w:ascii="Tahoma" w:hAnsi="Tahoma" w:cs="Tahoma"/>
                <w:sz w:val="22"/>
                <w:lang w:eastAsia="hr-HR"/>
              </w:rPr>
              <w:t>77</w:t>
            </w:r>
          </w:p>
        </w:tc>
      </w:tr>
    </w:tbl>
    <w:p w:rsidR="001D5EF7" w:rsidRPr="002A66DF" w:rsidRDefault="001D5EF7" w:rsidP="001D5EF7">
      <w:pPr>
        <w:jc w:val="both"/>
        <w:rPr>
          <w:rFonts w:ascii="Tahoma" w:hAnsi="Tahoma" w:cs="Tahoma"/>
          <w:b/>
          <w:sz w:val="22"/>
        </w:rPr>
      </w:pPr>
    </w:p>
    <w:p w:rsidR="001D5EF7" w:rsidRPr="002A66DF" w:rsidRDefault="001D5EF7" w:rsidP="001D5EF7">
      <w:pPr>
        <w:jc w:val="both"/>
        <w:rPr>
          <w:rFonts w:ascii="Tahoma" w:hAnsi="Tahoma" w:cs="Tahoma"/>
          <w:sz w:val="22"/>
        </w:rPr>
      </w:pPr>
      <w:r w:rsidRPr="002A66DF">
        <w:rPr>
          <w:rFonts w:ascii="Tahoma" w:hAnsi="Tahoma" w:cs="Tahoma"/>
          <w:sz w:val="22"/>
        </w:rPr>
        <w:t>U 202</w:t>
      </w:r>
      <w:r w:rsidR="00477489" w:rsidRPr="002A66DF">
        <w:rPr>
          <w:rFonts w:ascii="Tahoma" w:hAnsi="Tahoma" w:cs="Tahoma"/>
          <w:sz w:val="22"/>
        </w:rPr>
        <w:t>3</w:t>
      </w:r>
      <w:r w:rsidRPr="002A66DF">
        <w:rPr>
          <w:rFonts w:ascii="Tahoma" w:hAnsi="Tahoma" w:cs="Tahoma"/>
          <w:sz w:val="22"/>
        </w:rPr>
        <w:t xml:space="preserve">. godini izdaci za </w:t>
      </w:r>
      <w:r w:rsidR="00313F5F" w:rsidRPr="002A66DF">
        <w:rPr>
          <w:rFonts w:ascii="Tahoma" w:hAnsi="Tahoma" w:cs="Tahoma"/>
          <w:sz w:val="22"/>
        </w:rPr>
        <w:t xml:space="preserve">zdravstvene i veterinarske usluge, tj. </w:t>
      </w:r>
      <w:r w:rsidR="00477489" w:rsidRPr="002A66DF">
        <w:rPr>
          <w:rFonts w:ascii="Tahoma" w:hAnsi="Tahoma" w:cs="Tahoma"/>
          <w:sz w:val="22"/>
        </w:rPr>
        <w:t>usluge drugih zdravstvenih ustanova</w:t>
      </w:r>
      <w:r w:rsidR="005E7DF2" w:rsidRPr="002A66DF">
        <w:rPr>
          <w:rFonts w:ascii="Tahoma" w:hAnsi="Tahoma" w:cs="Tahoma"/>
          <w:sz w:val="22"/>
        </w:rPr>
        <w:t xml:space="preserve"> </w:t>
      </w:r>
      <w:r w:rsidRPr="002A66DF">
        <w:rPr>
          <w:rFonts w:ascii="Tahoma" w:hAnsi="Tahoma" w:cs="Tahoma"/>
          <w:sz w:val="22"/>
        </w:rPr>
        <w:t xml:space="preserve">porasli su za </w:t>
      </w:r>
      <w:r w:rsidR="00FA66FD" w:rsidRPr="002A66DF">
        <w:rPr>
          <w:rFonts w:ascii="Tahoma" w:hAnsi="Tahoma" w:cs="Tahoma"/>
          <w:sz w:val="22"/>
        </w:rPr>
        <w:t>76</w:t>
      </w:r>
      <w:r w:rsidRPr="002A66DF">
        <w:rPr>
          <w:rFonts w:ascii="Tahoma" w:hAnsi="Tahoma" w:cs="Tahoma"/>
          <w:sz w:val="22"/>
        </w:rPr>
        <w:t>,</w:t>
      </w:r>
      <w:r w:rsidR="00FA66FD" w:rsidRPr="002A66DF">
        <w:rPr>
          <w:rFonts w:ascii="Tahoma" w:hAnsi="Tahoma" w:cs="Tahoma"/>
          <w:sz w:val="22"/>
        </w:rPr>
        <w:t>6</w:t>
      </w:r>
      <w:r w:rsidRPr="002A66DF">
        <w:rPr>
          <w:rFonts w:ascii="Tahoma" w:hAnsi="Tahoma" w:cs="Tahoma"/>
          <w:sz w:val="22"/>
        </w:rPr>
        <w:t xml:space="preserve">% u odnosu na prethodnu godinu. </w:t>
      </w:r>
      <w:r w:rsidR="00FA66FD" w:rsidRPr="002A66DF">
        <w:rPr>
          <w:rFonts w:ascii="Tahoma" w:hAnsi="Tahoma" w:cs="Tahoma"/>
          <w:sz w:val="22"/>
        </w:rPr>
        <w:t xml:space="preserve">Pod izdatke za usluge drugih zdravstvenih ustanova spadaju </w:t>
      </w:r>
      <w:proofErr w:type="spellStart"/>
      <w:r w:rsidR="00FA66FD" w:rsidRPr="002A66DF">
        <w:rPr>
          <w:rFonts w:ascii="Tahoma" w:hAnsi="Tahoma" w:cs="Tahoma"/>
          <w:sz w:val="22"/>
        </w:rPr>
        <w:t>suradne</w:t>
      </w:r>
      <w:proofErr w:type="spellEnd"/>
      <w:r w:rsidR="00FA66FD" w:rsidRPr="002A66DF">
        <w:rPr>
          <w:rFonts w:ascii="Tahoma" w:hAnsi="Tahoma" w:cs="Tahoma"/>
          <w:sz w:val="22"/>
        </w:rPr>
        <w:t xml:space="preserve"> ustanove, obdukcije, gensko profiliranje i pregledi zaposlenika – sistematski. </w:t>
      </w:r>
      <w:r w:rsidRPr="002A66DF">
        <w:rPr>
          <w:rFonts w:ascii="Tahoma" w:hAnsi="Tahoma" w:cs="Tahoma"/>
          <w:sz w:val="22"/>
        </w:rPr>
        <w:t xml:space="preserve">Od </w:t>
      </w:r>
      <w:r w:rsidR="00FA66FD" w:rsidRPr="002A66DF">
        <w:rPr>
          <w:rFonts w:ascii="Tahoma" w:hAnsi="Tahoma" w:cs="Tahoma"/>
          <w:sz w:val="22"/>
        </w:rPr>
        <w:t xml:space="preserve">navedenih </w:t>
      </w:r>
      <w:r w:rsidRPr="002A66DF">
        <w:rPr>
          <w:rFonts w:ascii="Tahoma" w:hAnsi="Tahoma" w:cs="Tahoma"/>
          <w:sz w:val="22"/>
        </w:rPr>
        <w:t>usluga</w:t>
      </w:r>
      <w:r w:rsidR="00FA66FD" w:rsidRPr="002A66DF">
        <w:rPr>
          <w:rFonts w:ascii="Tahoma" w:hAnsi="Tahoma" w:cs="Tahoma"/>
          <w:sz w:val="22"/>
        </w:rPr>
        <w:t xml:space="preserve"> najveće povećanje rashoda u 2023. u odnosu na prethodnu godinu bilježi </w:t>
      </w:r>
      <w:r w:rsidR="00792656" w:rsidRPr="002A66DF">
        <w:rPr>
          <w:rFonts w:ascii="Tahoma" w:hAnsi="Tahoma" w:cs="Tahoma"/>
          <w:sz w:val="22"/>
        </w:rPr>
        <w:t xml:space="preserve">se na kontu </w:t>
      </w:r>
      <w:r w:rsidR="00FA66FD" w:rsidRPr="002A66DF">
        <w:rPr>
          <w:rFonts w:ascii="Tahoma" w:hAnsi="Tahoma" w:cs="Tahoma"/>
          <w:sz w:val="22"/>
        </w:rPr>
        <w:t>usluga genskog profiliranja</w:t>
      </w:r>
      <w:r w:rsidR="00792656" w:rsidRPr="002A66DF">
        <w:rPr>
          <w:rFonts w:ascii="Tahoma" w:hAnsi="Tahoma" w:cs="Tahoma"/>
          <w:sz w:val="22"/>
        </w:rPr>
        <w:t xml:space="preserve"> zbog povećanja broja slučajeva</w:t>
      </w:r>
      <w:r w:rsidRPr="002A66DF">
        <w:rPr>
          <w:rFonts w:ascii="Tahoma" w:hAnsi="Tahoma" w:cs="Tahoma"/>
          <w:sz w:val="22"/>
        </w:rPr>
        <w:t>.</w:t>
      </w:r>
    </w:p>
    <w:p w:rsidR="00191799" w:rsidRPr="002A66DF" w:rsidRDefault="00191799" w:rsidP="001D5EF7">
      <w:pPr>
        <w:jc w:val="both"/>
        <w:rPr>
          <w:rFonts w:ascii="Tahoma" w:hAnsi="Tahoma" w:cs="Tahoma"/>
          <w:sz w:val="22"/>
        </w:rPr>
      </w:pPr>
    </w:p>
    <w:p w:rsidR="00D91F7E" w:rsidRPr="002A66DF" w:rsidRDefault="00D91F7E" w:rsidP="00D91F7E">
      <w:pPr>
        <w:pStyle w:val="ListParagraph"/>
        <w:numPr>
          <w:ilvl w:val="0"/>
          <w:numId w:val="6"/>
        </w:numPr>
        <w:jc w:val="both"/>
        <w:rPr>
          <w:rFonts w:ascii="Tahoma" w:hAnsi="Tahoma" w:cs="Tahoma"/>
          <w:b/>
          <w:sz w:val="22"/>
        </w:rPr>
      </w:pPr>
      <w:r w:rsidRPr="002A66DF">
        <w:rPr>
          <w:rFonts w:ascii="Tahoma" w:hAnsi="Tahoma" w:cs="Tahoma"/>
          <w:b/>
          <w:sz w:val="22"/>
        </w:rPr>
        <w:t>Intelektualne i osobne usluge (Šifra 3237)</w:t>
      </w:r>
    </w:p>
    <w:p w:rsidR="00D91F7E" w:rsidRPr="002A66DF" w:rsidRDefault="00D91F7E" w:rsidP="00D91F7E">
      <w:pPr>
        <w:jc w:val="both"/>
        <w:rPr>
          <w:rFonts w:ascii="Tahoma" w:hAnsi="Tahoma" w:cs="Tahoma"/>
          <w:sz w:val="22"/>
        </w:rPr>
      </w:pPr>
      <w:r w:rsidRPr="002A66DF">
        <w:rPr>
          <w:rFonts w:ascii="Tahoma" w:hAnsi="Tahoma" w:cs="Tahoma"/>
          <w:sz w:val="22"/>
        </w:rPr>
        <w:t xml:space="preserve"> </w:t>
      </w:r>
    </w:p>
    <w:tbl>
      <w:tblPr>
        <w:tblW w:w="9214" w:type="dxa"/>
        <w:tblInd w:w="-5" w:type="dxa"/>
        <w:tblLook w:val="04A0" w:firstRow="1" w:lastRow="0" w:firstColumn="1" w:lastColumn="0" w:noHBand="0" w:noVBand="1"/>
      </w:tblPr>
      <w:tblGrid>
        <w:gridCol w:w="3261"/>
        <w:gridCol w:w="1984"/>
        <w:gridCol w:w="1843"/>
        <w:gridCol w:w="2126"/>
      </w:tblGrid>
      <w:tr w:rsidR="00D91F7E" w:rsidRPr="002A66DF" w:rsidTr="004E687E">
        <w:trPr>
          <w:trHeight w:val="570"/>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F7E" w:rsidRPr="002A66DF" w:rsidRDefault="00D91F7E" w:rsidP="004E687E">
            <w:pPr>
              <w:jc w:val="center"/>
              <w:rPr>
                <w:rFonts w:ascii="Tahoma" w:hAnsi="Tahoma" w:cs="Tahoma"/>
                <w:b/>
                <w:bCs/>
                <w:lang w:eastAsia="hr-HR"/>
              </w:rPr>
            </w:pPr>
            <w:r w:rsidRPr="002A66DF">
              <w:rPr>
                <w:rFonts w:ascii="Tahoma" w:hAnsi="Tahoma" w:cs="Tahoma"/>
                <w:b/>
                <w:bCs/>
                <w:sz w:val="20"/>
                <w:lang w:eastAsia="hr-HR"/>
              </w:rPr>
              <w:t>Intelektualne i osobne usluge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91F7E" w:rsidRPr="002A66DF" w:rsidRDefault="00D91F7E" w:rsidP="004E687E">
            <w:pPr>
              <w:jc w:val="center"/>
              <w:rPr>
                <w:rFonts w:ascii="Tahoma" w:hAnsi="Tahoma" w:cs="Tahoma"/>
                <w:b/>
                <w:bCs/>
                <w:sz w:val="22"/>
                <w:lang w:eastAsia="hr-HR"/>
              </w:rPr>
            </w:pPr>
            <w:r w:rsidRPr="002A66DF">
              <w:rPr>
                <w:rFonts w:ascii="Tahoma" w:hAnsi="Tahoma" w:cs="Tahoma"/>
                <w:b/>
                <w:bCs/>
                <w:sz w:val="22"/>
                <w:lang w:eastAsia="hr-HR"/>
              </w:rPr>
              <w:t xml:space="preserve">Izvršenje </w:t>
            </w:r>
            <w:r w:rsidRPr="002A66DF">
              <w:rPr>
                <w:rFonts w:ascii="Tahoma" w:hAnsi="Tahoma" w:cs="Tahoma"/>
                <w:b/>
                <w:bCs/>
                <w:sz w:val="22"/>
                <w:lang w:eastAsia="hr-HR"/>
              </w:rPr>
              <w:br/>
              <w:t>2022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91F7E" w:rsidRPr="002A66DF" w:rsidRDefault="00D91F7E" w:rsidP="004E687E">
            <w:pPr>
              <w:jc w:val="center"/>
              <w:rPr>
                <w:rFonts w:ascii="Tahoma" w:hAnsi="Tahoma" w:cs="Tahoma"/>
                <w:b/>
                <w:bCs/>
                <w:sz w:val="22"/>
                <w:lang w:eastAsia="hr-HR"/>
              </w:rPr>
            </w:pPr>
            <w:r w:rsidRPr="002A66DF">
              <w:rPr>
                <w:rFonts w:ascii="Tahoma" w:hAnsi="Tahoma" w:cs="Tahoma"/>
                <w:b/>
                <w:bCs/>
                <w:sz w:val="22"/>
                <w:lang w:eastAsia="hr-HR"/>
              </w:rPr>
              <w:t xml:space="preserve">Izvršenje </w:t>
            </w:r>
            <w:r w:rsidRPr="002A66DF">
              <w:rPr>
                <w:rFonts w:ascii="Tahoma" w:hAnsi="Tahoma" w:cs="Tahoma"/>
                <w:b/>
                <w:bCs/>
                <w:sz w:val="22"/>
                <w:lang w:eastAsia="hr-HR"/>
              </w:rPr>
              <w:br/>
              <w:t>2023</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D91F7E" w:rsidRPr="002A66DF" w:rsidRDefault="00D91F7E" w:rsidP="004E687E">
            <w:pPr>
              <w:jc w:val="center"/>
              <w:rPr>
                <w:rFonts w:ascii="Tahoma" w:hAnsi="Tahoma" w:cs="Tahoma"/>
                <w:b/>
                <w:bCs/>
                <w:sz w:val="22"/>
                <w:lang w:eastAsia="hr-HR"/>
              </w:rPr>
            </w:pPr>
            <w:r w:rsidRPr="002A66DF">
              <w:rPr>
                <w:rFonts w:ascii="Tahoma" w:hAnsi="Tahoma" w:cs="Tahoma"/>
                <w:b/>
                <w:bCs/>
                <w:sz w:val="22"/>
                <w:lang w:eastAsia="hr-HR"/>
              </w:rPr>
              <w:t>Indeks</w:t>
            </w:r>
          </w:p>
          <w:p w:rsidR="00D91F7E" w:rsidRPr="002A66DF" w:rsidRDefault="00D91F7E" w:rsidP="004E687E">
            <w:pPr>
              <w:jc w:val="center"/>
              <w:rPr>
                <w:rFonts w:ascii="Tahoma" w:hAnsi="Tahoma" w:cs="Tahoma"/>
                <w:b/>
                <w:bCs/>
                <w:sz w:val="22"/>
                <w:lang w:eastAsia="hr-HR"/>
              </w:rPr>
            </w:pPr>
            <w:r w:rsidRPr="002A66DF">
              <w:rPr>
                <w:rFonts w:ascii="Tahoma" w:hAnsi="Tahoma" w:cs="Tahoma"/>
                <w:b/>
                <w:bCs/>
                <w:sz w:val="22"/>
                <w:lang w:eastAsia="hr-HR"/>
              </w:rPr>
              <w:t>2023/2022</w:t>
            </w:r>
          </w:p>
        </w:tc>
      </w:tr>
      <w:tr w:rsidR="00D91F7E" w:rsidRPr="000172DA" w:rsidTr="004E687E">
        <w:trPr>
          <w:trHeight w:val="320"/>
        </w:trPr>
        <w:tc>
          <w:tcPr>
            <w:tcW w:w="3261" w:type="dxa"/>
            <w:vMerge/>
            <w:tcBorders>
              <w:top w:val="single" w:sz="4" w:space="0" w:color="auto"/>
              <w:left w:val="single" w:sz="4" w:space="0" w:color="auto"/>
              <w:bottom w:val="single" w:sz="4" w:space="0" w:color="000000"/>
              <w:right w:val="single" w:sz="4" w:space="0" w:color="auto"/>
            </w:tcBorders>
            <w:vAlign w:val="center"/>
            <w:hideMark/>
          </w:tcPr>
          <w:p w:rsidR="00D91F7E" w:rsidRPr="002A66DF" w:rsidRDefault="00D91F7E" w:rsidP="004E687E">
            <w:pPr>
              <w:rPr>
                <w:rFonts w:ascii="Tahoma" w:hAnsi="Tahoma" w:cs="Tahoma"/>
                <w:b/>
                <w:bCs/>
                <w:lang w:eastAsia="hr-HR"/>
              </w:rPr>
            </w:pPr>
          </w:p>
        </w:tc>
        <w:tc>
          <w:tcPr>
            <w:tcW w:w="1984" w:type="dxa"/>
            <w:tcBorders>
              <w:top w:val="nil"/>
              <w:left w:val="nil"/>
              <w:bottom w:val="single" w:sz="4" w:space="0" w:color="auto"/>
              <w:right w:val="single" w:sz="4" w:space="0" w:color="auto"/>
            </w:tcBorders>
            <w:shd w:val="clear" w:color="auto" w:fill="auto"/>
            <w:vAlign w:val="bottom"/>
            <w:hideMark/>
          </w:tcPr>
          <w:p w:rsidR="00D91F7E" w:rsidRPr="002A66DF" w:rsidRDefault="00D91F7E" w:rsidP="004E687E">
            <w:pPr>
              <w:jc w:val="right"/>
              <w:rPr>
                <w:rFonts w:ascii="Tahoma" w:hAnsi="Tahoma" w:cs="Tahoma"/>
                <w:sz w:val="22"/>
                <w:lang w:eastAsia="hr-HR"/>
              </w:rPr>
            </w:pPr>
            <w:r w:rsidRPr="002A66DF">
              <w:rPr>
                <w:rFonts w:ascii="Tahoma" w:hAnsi="Tahoma" w:cs="Tahoma"/>
                <w:sz w:val="22"/>
                <w:lang w:eastAsia="hr-HR"/>
              </w:rPr>
              <w:t>3.172.761</w:t>
            </w:r>
          </w:p>
        </w:tc>
        <w:tc>
          <w:tcPr>
            <w:tcW w:w="1843" w:type="dxa"/>
            <w:tcBorders>
              <w:top w:val="nil"/>
              <w:left w:val="nil"/>
              <w:bottom w:val="single" w:sz="4" w:space="0" w:color="auto"/>
              <w:right w:val="single" w:sz="4" w:space="0" w:color="auto"/>
            </w:tcBorders>
            <w:shd w:val="clear" w:color="auto" w:fill="auto"/>
            <w:vAlign w:val="bottom"/>
            <w:hideMark/>
          </w:tcPr>
          <w:p w:rsidR="00D91F7E" w:rsidRPr="002A66DF" w:rsidRDefault="00D91F7E" w:rsidP="004E687E">
            <w:pPr>
              <w:jc w:val="right"/>
              <w:rPr>
                <w:rFonts w:ascii="Tahoma" w:hAnsi="Tahoma" w:cs="Tahoma"/>
                <w:sz w:val="22"/>
                <w:lang w:eastAsia="hr-HR"/>
              </w:rPr>
            </w:pPr>
            <w:r w:rsidRPr="002A66DF">
              <w:rPr>
                <w:rFonts w:ascii="Tahoma" w:hAnsi="Tahoma" w:cs="Tahoma"/>
                <w:sz w:val="22"/>
                <w:lang w:eastAsia="hr-HR"/>
              </w:rPr>
              <w:t>3.573.279</w:t>
            </w:r>
          </w:p>
        </w:tc>
        <w:tc>
          <w:tcPr>
            <w:tcW w:w="2126" w:type="dxa"/>
            <w:tcBorders>
              <w:top w:val="nil"/>
              <w:left w:val="nil"/>
              <w:bottom w:val="single" w:sz="4" w:space="0" w:color="auto"/>
              <w:right w:val="single" w:sz="4" w:space="0" w:color="auto"/>
            </w:tcBorders>
            <w:shd w:val="clear" w:color="auto" w:fill="auto"/>
            <w:vAlign w:val="bottom"/>
            <w:hideMark/>
          </w:tcPr>
          <w:p w:rsidR="00D91F7E" w:rsidRPr="00BD4D08" w:rsidRDefault="00D91F7E" w:rsidP="004E687E">
            <w:pPr>
              <w:jc w:val="right"/>
              <w:rPr>
                <w:rFonts w:ascii="Tahoma" w:hAnsi="Tahoma" w:cs="Tahoma"/>
                <w:sz w:val="22"/>
                <w:lang w:eastAsia="hr-HR"/>
              </w:rPr>
            </w:pPr>
            <w:r w:rsidRPr="002A66DF">
              <w:rPr>
                <w:rFonts w:ascii="Tahoma" w:hAnsi="Tahoma" w:cs="Tahoma"/>
                <w:sz w:val="22"/>
                <w:lang w:eastAsia="hr-HR"/>
              </w:rPr>
              <w:t>1,13</w:t>
            </w:r>
          </w:p>
        </w:tc>
      </w:tr>
    </w:tbl>
    <w:p w:rsidR="00D91F7E" w:rsidRDefault="00D91F7E" w:rsidP="00D91F7E">
      <w:pPr>
        <w:jc w:val="both"/>
        <w:rPr>
          <w:rFonts w:ascii="Tahoma" w:hAnsi="Tahoma" w:cs="Tahoma"/>
        </w:rPr>
      </w:pPr>
    </w:p>
    <w:p w:rsidR="00D91F7E" w:rsidRPr="00D20444" w:rsidRDefault="00D91F7E" w:rsidP="00D91F7E">
      <w:pPr>
        <w:jc w:val="both"/>
        <w:rPr>
          <w:rFonts w:ascii="Tahoma" w:eastAsia="Calibri" w:hAnsi="Tahoma" w:cs="Tahoma"/>
          <w:sz w:val="21"/>
          <w:szCs w:val="21"/>
        </w:rPr>
      </w:pPr>
      <w:r w:rsidRPr="00BD4D08">
        <w:rPr>
          <w:rFonts w:ascii="Tahoma" w:hAnsi="Tahoma" w:cs="Tahoma"/>
          <w:sz w:val="22"/>
        </w:rPr>
        <w:t>U 202</w:t>
      </w:r>
      <w:r>
        <w:rPr>
          <w:rFonts w:ascii="Tahoma" w:hAnsi="Tahoma" w:cs="Tahoma"/>
          <w:sz w:val="22"/>
        </w:rPr>
        <w:t>3</w:t>
      </w:r>
      <w:r w:rsidRPr="00BD4D08">
        <w:rPr>
          <w:rFonts w:ascii="Tahoma" w:hAnsi="Tahoma" w:cs="Tahoma"/>
          <w:sz w:val="22"/>
        </w:rPr>
        <w:t xml:space="preserve">. godini izdaci za </w:t>
      </w:r>
      <w:r>
        <w:rPr>
          <w:rFonts w:ascii="Tahoma" w:hAnsi="Tahoma" w:cs="Tahoma"/>
          <w:sz w:val="22"/>
        </w:rPr>
        <w:t xml:space="preserve">intelektualne i osobne usluge porasli su za 12,6% u </w:t>
      </w:r>
      <w:r w:rsidRPr="00BD4D08">
        <w:rPr>
          <w:rFonts w:ascii="Tahoma" w:hAnsi="Tahoma" w:cs="Tahoma"/>
          <w:sz w:val="22"/>
        </w:rPr>
        <w:t xml:space="preserve">odnosu na </w:t>
      </w:r>
      <w:r>
        <w:rPr>
          <w:rFonts w:ascii="Tahoma" w:hAnsi="Tahoma" w:cs="Tahoma"/>
          <w:sz w:val="22"/>
        </w:rPr>
        <w:t>prethodnu</w:t>
      </w:r>
      <w:r w:rsidRPr="00BD4D08">
        <w:rPr>
          <w:rFonts w:ascii="Tahoma" w:hAnsi="Tahoma" w:cs="Tahoma"/>
          <w:sz w:val="22"/>
        </w:rPr>
        <w:t xml:space="preserve"> godinu. </w:t>
      </w:r>
      <w:r w:rsidRPr="00D20444">
        <w:rPr>
          <w:rFonts w:ascii="Tahoma" w:eastAsia="Calibri" w:hAnsi="Tahoma" w:cs="Tahoma"/>
          <w:sz w:val="21"/>
          <w:szCs w:val="21"/>
        </w:rPr>
        <w:t xml:space="preserve">Pod intelektualne i osobne usluge spadaju </w:t>
      </w:r>
      <w:r>
        <w:rPr>
          <w:rFonts w:ascii="Tahoma" w:eastAsia="Calibri" w:hAnsi="Tahoma" w:cs="Tahoma"/>
          <w:sz w:val="21"/>
          <w:szCs w:val="21"/>
        </w:rPr>
        <w:t>rashodi za autorske</w:t>
      </w:r>
      <w:r w:rsidRPr="00D20444">
        <w:rPr>
          <w:rFonts w:ascii="Tahoma" w:eastAsia="Calibri" w:hAnsi="Tahoma" w:cs="Tahoma"/>
          <w:sz w:val="21"/>
          <w:szCs w:val="21"/>
        </w:rPr>
        <w:t xml:space="preserve"> honorare, ugovore o djelu, </w:t>
      </w:r>
      <w:r>
        <w:rPr>
          <w:rFonts w:ascii="Tahoma" w:eastAsia="Calibri" w:hAnsi="Tahoma" w:cs="Tahoma"/>
          <w:sz w:val="21"/>
          <w:szCs w:val="21"/>
        </w:rPr>
        <w:t>odvjetničke</w:t>
      </w:r>
      <w:r w:rsidRPr="00D20444">
        <w:rPr>
          <w:rFonts w:ascii="Tahoma" w:eastAsia="Calibri" w:hAnsi="Tahoma" w:cs="Tahoma"/>
          <w:sz w:val="21"/>
          <w:szCs w:val="21"/>
        </w:rPr>
        <w:t xml:space="preserve"> i ostale intelektualne usluge. Najveći porast rashoda u 2023. </w:t>
      </w:r>
      <w:r>
        <w:rPr>
          <w:rFonts w:ascii="Tahoma" w:eastAsia="Calibri" w:hAnsi="Tahoma" w:cs="Tahoma"/>
          <w:sz w:val="21"/>
          <w:szCs w:val="21"/>
        </w:rPr>
        <w:t xml:space="preserve">u odnosu na prethodnu godinu </w:t>
      </w:r>
      <w:r w:rsidRPr="00D20444">
        <w:rPr>
          <w:rFonts w:ascii="Tahoma" w:eastAsia="Calibri" w:hAnsi="Tahoma" w:cs="Tahoma"/>
          <w:sz w:val="21"/>
          <w:szCs w:val="21"/>
        </w:rPr>
        <w:t>bilježe ostale inte</w:t>
      </w:r>
      <w:r>
        <w:rPr>
          <w:rFonts w:ascii="Tahoma" w:eastAsia="Calibri" w:hAnsi="Tahoma" w:cs="Tahoma"/>
          <w:sz w:val="21"/>
          <w:szCs w:val="21"/>
        </w:rPr>
        <w:t>lektualne usluge (</w:t>
      </w:r>
      <w:r w:rsidRPr="00D20444">
        <w:rPr>
          <w:rFonts w:ascii="Tahoma" w:eastAsia="Calibri" w:hAnsi="Tahoma" w:cs="Tahoma"/>
          <w:sz w:val="21"/>
          <w:szCs w:val="21"/>
        </w:rPr>
        <w:t>usluge savjetnika i savjetovanja, izrada dokumentaci</w:t>
      </w:r>
      <w:r>
        <w:rPr>
          <w:rFonts w:ascii="Tahoma" w:eastAsia="Calibri" w:hAnsi="Tahoma" w:cs="Tahoma"/>
          <w:sz w:val="21"/>
          <w:szCs w:val="21"/>
        </w:rPr>
        <w:t xml:space="preserve">je, izrada studija i analiza te </w:t>
      </w:r>
      <w:r w:rsidRPr="00D20444">
        <w:rPr>
          <w:rFonts w:ascii="Tahoma" w:eastAsia="Calibri" w:hAnsi="Tahoma" w:cs="Tahoma"/>
          <w:sz w:val="21"/>
          <w:szCs w:val="21"/>
        </w:rPr>
        <w:t>testiranja</w:t>
      </w:r>
      <w:r>
        <w:rPr>
          <w:rFonts w:ascii="Tahoma" w:eastAsia="Calibri" w:hAnsi="Tahoma" w:cs="Tahoma"/>
          <w:sz w:val="21"/>
          <w:szCs w:val="21"/>
        </w:rPr>
        <w:t>), javnobilježničke usluge te ugovori o djelu – djelatnici KBC-a.</w:t>
      </w:r>
    </w:p>
    <w:p w:rsidR="00D91F7E" w:rsidRDefault="00D91F7E" w:rsidP="001D5EF7">
      <w:pPr>
        <w:jc w:val="both"/>
        <w:rPr>
          <w:rFonts w:ascii="Tahoma" w:hAnsi="Tahoma" w:cs="Tahoma"/>
          <w:sz w:val="22"/>
        </w:rPr>
      </w:pPr>
    </w:p>
    <w:p w:rsidR="004F271D" w:rsidRPr="00A7690B" w:rsidRDefault="004F271D" w:rsidP="00D91F7E">
      <w:pPr>
        <w:pStyle w:val="ListParagraph"/>
        <w:numPr>
          <w:ilvl w:val="0"/>
          <w:numId w:val="6"/>
        </w:numPr>
        <w:jc w:val="both"/>
        <w:rPr>
          <w:rFonts w:ascii="Tahoma" w:hAnsi="Tahoma" w:cs="Tahoma"/>
          <w:b/>
          <w:sz w:val="22"/>
        </w:rPr>
      </w:pPr>
      <w:r w:rsidRPr="00A7690B">
        <w:rPr>
          <w:rFonts w:ascii="Tahoma" w:hAnsi="Tahoma" w:cs="Tahoma"/>
          <w:b/>
          <w:sz w:val="22"/>
        </w:rPr>
        <w:t>Ostali nespomenuti rashodi poslovanja</w:t>
      </w:r>
      <w:r w:rsidR="009076E3" w:rsidRPr="00A7690B">
        <w:rPr>
          <w:rFonts w:ascii="Tahoma" w:hAnsi="Tahoma" w:cs="Tahoma"/>
          <w:b/>
          <w:sz w:val="22"/>
        </w:rPr>
        <w:t xml:space="preserve"> (Šifra 329)</w:t>
      </w:r>
    </w:p>
    <w:p w:rsidR="004F271D" w:rsidRDefault="004F271D" w:rsidP="004F271D">
      <w:pPr>
        <w:jc w:val="both"/>
        <w:rPr>
          <w:rFonts w:ascii="Tahoma" w:hAnsi="Tahoma" w:cs="Tahoma"/>
          <w:sz w:val="22"/>
        </w:rPr>
      </w:pPr>
      <w:r w:rsidRPr="00BD4D08">
        <w:rPr>
          <w:rFonts w:ascii="Tahoma" w:hAnsi="Tahoma" w:cs="Tahoma"/>
          <w:sz w:val="22"/>
        </w:rPr>
        <w:t xml:space="preserve"> </w:t>
      </w:r>
    </w:p>
    <w:tbl>
      <w:tblPr>
        <w:tblW w:w="9214" w:type="dxa"/>
        <w:tblInd w:w="-5" w:type="dxa"/>
        <w:tblLook w:val="04A0" w:firstRow="1" w:lastRow="0" w:firstColumn="1" w:lastColumn="0" w:noHBand="0" w:noVBand="1"/>
      </w:tblPr>
      <w:tblGrid>
        <w:gridCol w:w="3261"/>
        <w:gridCol w:w="1984"/>
        <w:gridCol w:w="1843"/>
        <w:gridCol w:w="2126"/>
      </w:tblGrid>
      <w:tr w:rsidR="004F271D" w:rsidRPr="000172DA" w:rsidTr="004E687E">
        <w:trPr>
          <w:trHeight w:val="570"/>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271D" w:rsidRPr="000172DA" w:rsidRDefault="004F271D" w:rsidP="004E687E">
            <w:pPr>
              <w:jc w:val="center"/>
              <w:rPr>
                <w:rFonts w:ascii="Tahoma" w:hAnsi="Tahoma" w:cs="Tahoma"/>
                <w:b/>
                <w:bCs/>
                <w:lang w:eastAsia="hr-HR"/>
              </w:rPr>
            </w:pPr>
            <w:r w:rsidRPr="002A66DF">
              <w:rPr>
                <w:rFonts w:ascii="Tahoma" w:hAnsi="Tahoma" w:cs="Tahoma"/>
                <w:b/>
                <w:bCs/>
                <w:sz w:val="20"/>
                <w:lang w:eastAsia="hr-HR"/>
              </w:rPr>
              <w:t>Ostali nespomenuti rashodi poslovanja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F271D" w:rsidRPr="00BD4D08" w:rsidRDefault="004F271D" w:rsidP="004E687E">
            <w:pPr>
              <w:jc w:val="center"/>
              <w:rPr>
                <w:rFonts w:ascii="Tahoma" w:hAnsi="Tahoma" w:cs="Tahoma"/>
                <w:b/>
                <w:bCs/>
                <w:sz w:val="22"/>
                <w:lang w:eastAsia="hr-HR"/>
              </w:rPr>
            </w:pPr>
            <w:r w:rsidRPr="00BD4D08">
              <w:rPr>
                <w:rFonts w:ascii="Tahoma" w:hAnsi="Tahoma" w:cs="Tahoma"/>
                <w:b/>
                <w:bCs/>
                <w:sz w:val="22"/>
                <w:lang w:eastAsia="hr-HR"/>
              </w:rPr>
              <w:t xml:space="preserve">Izvršenje </w:t>
            </w:r>
            <w:r w:rsidRPr="00BD4D08">
              <w:rPr>
                <w:rFonts w:ascii="Tahoma" w:hAnsi="Tahoma" w:cs="Tahoma"/>
                <w:b/>
                <w:bCs/>
                <w:sz w:val="22"/>
                <w:lang w:eastAsia="hr-HR"/>
              </w:rPr>
              <w:br/>
              <w:t>202</w:t>
            </w:r>
            <w:r>
              <w:rPr>
                <w:rFonts w:ascii="Tahoma" w:hAnsi="Tahoma" w:cs="Tahoma"/>
                <w:b/>
                <w:bCs/>
                <w:sz w:val="22"/>
                <w:lang w:eastAsia="hr-HR"/>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F271D" w:rsidRPr="00BD4D08" w:rsidRDefault="004F271D" w:rsidP="004E687E">
            <w:pPr>
              <w:jc w:val="center"/>
              <w:rPr>
                <w:rFonts w:ascii="Tahoma" w:hAnsi="Tahoma" w:cs="Tahoma"/>
                <w:b/>
                <w:bCs/>
                <w:sz w:val="22"/>
                <w:lang w:eastAsia="hr-HR"/>
              </w:rPr>
            </w:pPr>
            <w:r w:rsidRPr="00BD4D08">
              <w:rPr>
                <w:rFonts w:ascii="Tahoma" w:hAnsi="Tahoma" w:cs="Tahoma"/>
                <w:b/>
                <w:bCs/>
                <w:sz w:val="22"/>
                <w:lang w:eastAsia="hr-HR"/>
              </w:rPr>
              <w:t xml:space="preserve">Izvršenje </w:t>
            </w:r>
            <w:r w:rsidRPr="00BD4D08">
              <w:rPr>
                <w:rFonts w:ascii="Tahoma" w:hAnsi="Tahoma" w:cs="Tahoma"/>
                <w:b/>
                <w:bCs/>
                <w:sz w:val="22"/>
                <w:lang w:eastAsia="hr-HR"/>
              </w:rPr>
              <w:br/>
              <w:t>202</w:t>
            </w:r>
            <w:r>
              <w:rPr>
                <w:rFonts w:ascii="Tahoma" w:hAnsi="Tahoma" w:cs="Tahoma"/>
                <w:b/>
                <w:bCs/>
                <w:sz w:val="22"/>
                <w:lang w:eastAsia="hr-HR"/>
              </w:rPr>
              <w:t>3</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4F271D" w:rsidRPr="00BD4D08" w:rsidRDefault="004F271D" w:rsidP="004E687E">
            <w:pPr>
              <w:jc w:val="center"/>
              <w:rPr>
                <w:rFonts w:ascii="Tahoma" w:hAnsi="Tahoma" w:cs="Tahoma"/>
                <w:b/>
                <w:bCs/>
                <w:sz w:val="22"/>
                <w:lang w:eastAsia="hr-HR"/>
              </w:rPr>
            </w:pPr>
            <w:r w:rsidRPr="00BD4D08">
              <w:rPr>
                <w:rFonts w:ascii="Tahoma" w:hAnsi="Tahoma" w:cs="Tahoma"/>
                <w:b/>
                <w:bCs/>
                <w:sz w:val="22"/>
                <w:lang w:eastAsia="hr-HR"/>
              </w:rPr>
              <w:t>Indeks</w:t>
            </w:r>
          </w:p>
          <w:p w:rsidR="004F271D" w:rsidRPr="00BD4D08" w:rsidRDefault="004F271D" w:rsidP="004E687E">
            <w:pPr>
              <w:jc w:val="center"/>
              <w:rPr>
                <w:rFonts w:ascii="Tahoma" w:hAnsi="Tahoma" w:cs="Tahoma"/>
                <w:b/>
                <w:bCs/>
                <w:sz w:val="22"/>
                <w:lang w:eastAsia="hr-HR"/>
              </w:rPr>
            </w:pPr>
            <w:r w:rsidRPr="00BD4D08">
              <w:rPr>
                <w:rFonts w:ascii="Tahoma" w:hAnsi="Tahoma" w:cs="Tahoma"/>
                <w:b/>
                <w:bCs/>
                <w:sz w:val="22"/>
                <w:lang w:eastAsia="hr-HR"/>
              </w:rPr>
              <w:t>202</w:t>
            </w:r>
            <w:r>
              <w:rPr>
                <w:rFonts w:ascii="Tahoma" w:hAnsi="Tahoma" w:cs="Tahoma"/>
                <w:b/>
                <w:bCs/>
                <w:sz w:val="22"/>
                <w:lang w:eastAsia="hr-HR"/>
              </w:rPr>
              <w:t>3</w:t>
            </w:r>
            <w:r w:rsidRPr="00BD4D08">
              <w:rPr>
                <w:rFonts w:ascii="Tahoma" w:hAnsi="Tahoma" w:cs="Tahoma"/>
                <w:b/>
                <w:bCs/>
                <w:sz w:val="22"/>
                <w:lang w:eastAsia="hr-HR"/>
              </w:rPr>
              <w:t>/202</w:t>
            </w:r>
            <w:r>
              <w:rPr>
                <w:rFonts w:ascii="Tahoma" w:hAnsi="Tahoma" w:cs="Tahoma"/>
                <w:b/>
                <w:bCs/>
                <w:sz w:val="22"/>
                <w:lang w:eastAsia="hr-HR"/>
              </w:rPr>
              <w:t>2</w:t>
            </w:r>
          </w:p>
        </w:tc>
      </w:tr>
      <w:tr w:rsidR="004F271D" w:rsidRPr="000172DA" w:rsidTr="002A66DF">
        <w:trPr>
          <w:trHeight w:val="320"/>
        </w:trPr>
        <w:tc>
          <w:tcPr>
            <w:tcW w:w="326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F271D" w:rsidRPr="000172DA" w:rsidRDefault="004F271D" w:rsidP="004E687E">
            <w:pPr>
              <w:rPr>
                <w:rFonts w:ascii="Tahoma" w:hAnsi="Tahoma" w:cs="Tahoma"/>
                <w:b/>
                <w:bCs/>
                <w:lang w:eastAsia="hr-HR"/>
              </w:rPr>
            </w:pPr>
          </w:p>
        </w:tc>
        <w:tc>
          <w:tcPr>
            <w:tcW w:w="1984" w:type="dxa"/>
            <w:tcBorders>
              <w:top w:val="nil"/>
              <w:left w:val="nil"/>
              <w:bottom w:val="single" w:sz="4" w:space="0" w:color="auto"/>
              <w:right w:val="single" w:sz="4" w:space="0" w:color="auto"/>
            </w:tcBorders>
            <w:shd w:val="clear" w:color="auto" w:fill="auto"/>
            <w:vAlign w:val="bottom"/>
            <w:hideMark/>
          </w:tcPr>
          <w:p w:rsidR="004F271D" w:rsidRPr="00BD4D08" w:rsidRDefault="004F271D" w:rsidP="004E687E">
            <w:pPr>
              <w:jc w:val="right"/>
              <w:rPr>
                <w:rFonts w:ascii="Tahoma" w:hAnsi="Tahoma" w:cs="Tahoma"/>
                <w:sz w:val="22"/>
                <w:lang w:eastAsia="hr-HR"/>
              </w:rPr>
            </w:pPr>
            <w:r>
              <w:rPr>
                <w:rFonts w:ascii="Tahoma" w:hAnsi="Tahoma" w:cs="Tahoma"/>
                <w:sz w:val="22"/>
                <w:lang w:eastAsia="hr-HR"/>
              </w:rPr>
              <w:t>1.163.211</w:t>
            </w:r>
          </w:p>
        </w:tc>
        <w:tc>
          <w:tcPr>
            <w:tcW w:w="1843" w:type="dxa"/>
            <w:tcBorders>
              <w:top w:val="nil"/>
              <w:left w:val="nil"/>
              <w:bottom w:val="single" w:sz="4" w:space="0" w:color="auto"/>
              <w:right w:val="single" w:sz="4" w:space="0" w:color="auto"/>
            </w:tcBorders>
            <w:shd w:val="clear" w:color="auto" w:fill="auto"/>
            <w:vAlign w:val="bottom"/>
            <w:hideMark/>
          </w:tcPr>
          <w:p w:rsidR="004F271D" w:rsidRPr="00BD4D08" w:rsidRDefault="004F271D" w:rsidP="004E687E">
            <w:pPr>
              <w:jc w:val="right"/>
              <w:rPr>
                <w:rFonts w:ascii="Tahoma" w:hAnsi="Tahoma" w:cs="Tahoma"/>
                <w:sz w:val="22"/>
                <w:lang w:eastAsia="hr-HR"/>
              </w:rPr>
            </w:pPr>
            <w:r>
              <w:rPr>
                <w:rFonts w:ascii="Tahoma" w:hAnsi="Tahoma" w:cs="Tahoma"/>
                <w:sz w:val="22"/>
                <w:lang w:eastAsia="hr-HR"/>
              </w:rPr>
              <w:t>1.999.438</w:t>
            </w:r>
          </w:p>
        </w:tc>
        <w:tc>
          <w:tcPr>
            <w:tcW w:w="2126" w:type="dxa"/>
            <w:tcBorders>
              <w:top w:val="nil"/>
              <w:left w:val="nil"/>
              <w:bottom w:val="single" w:sz="4" w:space="0" w:color="auto"/>
              <w:right w:val="single" w:sz="4" w:space="0" w:color="auto"/>
            </w:tcBorders>
            <w:shd w:val="clear" w:color="auto" w:fill="auto"/>
            <w:vAlign w:val="bottom"/>
            <w:hideMark/>
          </w:tcPr>
          <w:p w:rsidR="004F271D" w:rsidRPr="00BD4D08" w:rsidRDefault="004F271D" w:rsidP="004E687E">
            <w:pPr>
              <w:jc w:val="right"/>
              <w:rPr>
                <w:rFonts w:ascii="Tahoma" w:hAnsi="Tahoma" w:cs="Tahoma"/>
                <w:sz w:val="22"/>
                <w:lang w:eastAsia="hr-HR"/>
              </w:rPr>
            </w:pPr>
            <w:r>
              <w:rPr>
                <w:rFonts w:ascii="Tahoma" w:hAnsi="Tahoma" w:cs="Tahoma"/>
                <w:sz w:val="22"/>
                <w:lang w:eastAsia="hr-HR"/>
              </w:rPr>
              <w:t>1,72</w:t>
            </w:r>
          </w:p>
        </w:tc>
      </w:tr>
    </w:tbl>
    <w:p w:rsidR="004F271D" w:rsidRDefault="004F271D" w:rsidP="004F271D">
      <w:pPr>
        <w:jc w:val="both"/>
        <w:rPr>
          <w:rFonts w:ascii="Tahoma" w:hAnsi="Tahoma" w:cs="Tahoma"/>
        </w:rPr>
      </w:pPr>
    </w:p>
    <w:p w:rsidR="004F271D" w:rsidRDefault="004F271D" w:rsidP="004F271D">
      <w:pPr>
        <w:jc w:val="both"/>
        <w:rPr>
          <w:rFonts w:ascii="Tahoma" w:hAnsi="Tahoma" w:cs="Tahoma"/>
          <w:sz w:val="22"/>
        </w:rPr>
      </w:pPr>
      <w:r w:rsidRPr="00BD4D08">
        <w:rPr>
          <w:rFonts w:ascii="Tahoma" w:hAnsi="Tahoma" w:cs="Tahoma"/>
          <w:sz w:val="22"/>
        </w:rPr>
        <w:t>U 202</w:t>
      </w:r>
      <w:r>
        <w:rPr>
          <w:rFonts w:ascii="Tahoma" w:hAnsi="Tahoma" w:cs="Tahoma"/>
          <w:sz w:val="22"/>
        </w:rPr>
        <w:t>3</w:t>
      </w:r>
      <w:r w:rsidRPr="00BD4D08">
        <w:rPr>
          <w:rFonts w:ascii="Tahoma" w:hAnsi="Tahoma" w:cs="Tahoma"/>
          <w:sz w:val="22"/>
        </w:rPr>
        <w:t xml:space="preserve">. godini izdaci za </w:t>
      </w:r>
      <w:r>
        <w:rPr>
          <w:rFonts w:ascii="Tahoma" w:hAnsi="Tahoma" w:cs="Tahoma"/>
          <w:sz w:val="22"/>
        </w:rPr>
        <w:t xml:space="preserve">ostale nespomenute rashode poslovanja porasli su za 71,9% u </w:t>
      </w:r>
      <w:r w:rsidRPr="00BD4D08">
        <w:rPr>
          <w:rFonts w:ascii="Tahoma" w:hAnsi="Tahoma" w:cs="Tahoma"/>
          <w:sz w:val="22"/>
        </w:rPr>
        <w:t xml:space="preserve">odnosu na </w:t>
      </w:r>
      <w:r>
        <w:rPr>
          <w:rFonts w:ascii="Tahoma" w:hAnsi="Tahoma" w:cs="Tahoma"/>
          <w:sz w:val="22"/>
        </w:rPr>
        <w:t>prethodnu</w:t>
      </w:r>
      <w:r w:rsidRPr="00BD4D08">
        <w:rPr>
          <w:rFonts w:ascii="Tahoma" w:hAnsi="Tahoma" w:cs="Tahoma"/>
          <w:sz w:val="22"/>
        </w:rPr>
        <w:t xml:space="preserve"> godinu. </w:t>
      </w:r>
      <w:r>
        <w:rPr>
          <w:rFonts w:ascii="Tahoma" w:hAnsi="Tahoma" w:cs="Tahoma"/>
          <w:sz w:val="22"/>
        </w:rPr>
        <w:t>Glavni razlog povećanja rashoda su novčana naknada</w:t>
      </w:r>
      <w:r w:rsidRPr="003E42E4">
        <w:rPr>
          <w:rFonts w:ascii="Tahoma" w:hAnsi="Tahoma" w:cs="Tahoma"/>
          <w:sz w:val="22"/>
        </w:rPr>
        <w:t xml:space="preserve"> za neispunjenje kvote za zapošljavanje osoba s invaliditetom sukladno Zakonu o profesionalnoj rehabilitaciji i zapošljavanja osoba s invaliditetom </w:t>
      </w:r>
      <w:r>
        <w:rPr>
          <w:rFonts w:ascii="Tahoma" w:hAnsi="Tahoma" w:cs="Tahoma"/>
          <w:sz w:val="22"/>
        </w:rPr>
        <w:t xml:space="preserve">te pripadajućim Pravilnikom u iznosu od </w:t>
      </w:r>
      <w:r w:rsidRPr="00076768">
        <w:rPr>
          <w:rFonts w:ascii="Tahoma" w:hAnsi="Tahoma" w:cs="Tahoma"/>
          <w:sz w:val="22"/>
        </w:rPr>
        <w:t>460.533 EUR</w:t>
      </w:r>
      <w:r>
        <w:rPr>
          <w:rFonts w:ascii="Tahoma" w:hAnsi="Tahoma" w:cs="Tahoma"/>
          <w:sz w:val="22"/>
        </w:rPr>
        <w:t xml:space="preserve"> te </w:t>
      </w:r>
      <w:r>
        <w:rPr>
          <w:rFonts w:ascii="Tahoma" w:hAnsi="Tahoma" w:cs="Tahoma"/>
          <w:sz w:val="22"/>
          <w:szCs w:val="22"/>
        </w:rPr>
        <w:t>povećanje troškova sudskih postupaka za pokrenute</w:t>
      </w:r>
      <w:r w:rsidR="00A25E8B">
        <w:rPr>
          <w:rFonts w:ascii="Tahoma" w:hAnsi="Tahoma" w:cs="Tahoma"/>
          <w:sz w:val="22"/>
          <w:szCs w:val="22"/>
        </w:rPr>
        <w:t xml:space="preserve"> radne</w:t>
      </w:r>
      <w:r>
        <w:rPr>
          <w:rFonts w:ascii="Tahoma" w:hAnsi="Tahoma" w:cs="Tahoma"/>
          <w:sz w:val="22"/>
          <w:szCs w:val="22"/>
        </w:rPr>
        <w:t xml:space="preserve"> sporove</w:t>
      </w:r>
      <w:r w:rsidRPr="00D20444">
        <w:rPr>
          <w:rFonts w:ascii="Tahoma" w:hAnsi="Tahoma" w:cs="Tahoma"/>
          <w:sz w:val="22"/>
          <w:szCs w:val="22"/>
        </w:rPr>
        <w:t xml:space="preserve"> radi </w:t>
      </w:r>
      <w:r>
        <w:rPr>
          <w:rFonts w:ascii="Tahoma" w:hAnsi="Tahoma" w:cs="Tahoma"/>
          <w:sz w:val="22"/>
          <w:szCs w:val="22"/>
        </w:rPr>
        <w:t xml:space="preserve">neisplaćenih </w:t>
      </w:r>
      <w:r w:rsidRPr="00D20444">
        <w:rPr>
          <w:rFonts w:ascii="Tahoma" w:hAnsi="Tahoma" w:cs="Tahoma"/>
          <w:sz w:val="22"/>
          <w:szCs w:val="22"/>
        </w:rPr>
        <w:t>dodataka na prekovremene sate</w:t>
      </w:r>
      <w:r w:rsidR="00483516">
        <w:rPr>
          <w:rFonts w:ascii="Tahoma" w:hAnsi="Tahoma" w:cs="Tahoma"/>
          <w:sz w:val="22"/>
          <w:szCs w:val="22"/>
        </w:rPr>
        <w:t xml:space="preserve"> i</w:t>
      </w:r>
      <w:r w:rsidR="00241EA4" w:rsidRPr="00B65CA8">
        <w:rPr>
          <w:rFonts w:ascii="Tahoma" w:hAnsi="Tahoma" w:cs="Tahoma"/>
          <w:sz w:val="22"/>
          <w:szCs w:val="22"/>
        </w:rPr>
        <w:t xml:space="preserve"> </w:t>
      </w:r>
      <w:proofErr w:type="spellStart"/>
      <w:r w:rsidR="00483516">
        <w:rPr>
          <w:rFonts w:ascii="Tahoma" w:hAnsi="Tahoma" w:cs="Tahoma"/>
          <w:sz w:val="22"/>
          <w:szCs w:val="22"/>
        </w:rPr>
        <w:t>ne</w:t>
      </w:r>
      <w:r w:rsidRPr="00B65CA8">
        <w:rPr>
          <w:rFonts w:ascii="Tahoma" w:hAnsi="Tahoma" w:cs="Tahoma"/>
          <w:sz w:val="22"/>
          <w:szCs w:val="22"/>
        </w:rPr>
        <w:t>povećanja</w:t>
      </w:r>
      <w:proofErr w:type="spellEnd"/>
      <w:r>
        <w:rPr>
          <w:rFonts w:ascii="Tahoma" w:hAnsi="Tahoma" w:cs="Tahoma"/>
          <w:sz w:val="22"/>
          <w:szCs w:val="22"/>
        </w:rPr>
        <w:t xml:space="preserve"> osnovice za izračun plaća od 6% u javnim službama</w:t>
      </w:r>
      <w:r>
        <w:rPr>
          <w:rFonts w:ascii="Tahoma" w:hAnsi="Tahoma" w:cs="Tahoma"/>
          <w:sz w:val="22"/>
        </w:rPr>
        <w:t>.</w:t>
      </w:r>
    </w:p>
    <w:p w:rsidR="004960D4" w:rsidRDefault="004960D4" w:rsidP="004F271D">
      <w:pPr>
        <w:jc w:val="both"/>
        <w:rPr>
          <w:rFonts w:ascii="Tahoma" w:hAnsi="Tahoma" w:cs="Tahoma"/>
          <w:sz w:val="22"/>
        </w:rPr>
      </w:pPr>
    </w:p>
    <w:p w:rsidR="004960D4" w:rsidRDefault="004960D4" w:rsidP="004F271D">
      <w:pPr>
        <w:jc w:val="both"/>
        <w:rPr>
          <w:rFonts w:ascii="Tahoma" w:hAnsi="Tahoma" w:cs="Tahoma"/>
          <w:sz w:val="22"/>
        </w:rPr>
      </w:pPr>
    </w:p>
    <w:p w:rsidR="004960D4" w:rsidRDefault="004960D4" w:rsidP="004F271D">
      <w:pPr>
        <w:jc w:val="both"/>
        <w:rPr>
          <w:rFonts w:ascii="Tahoma" w:hAnsi="Tahoma" w:cs="Tahoma"/>
          <w:sz w:val="22"/>
        </w:rPr>
      </w:pPr>
    </w:p>
    <w:p w:rsidR="004960D4" w:rsidRPr="003E42E4" w:rsidRDefault="004960D4" w:rsidP="004F271D">
      <w:pPr>
        <w:jc w:val="both"/>
        <w:rPr>
          <w:rFonts w:ascii="Tahoma" w:hAnsi="Tahoma" w:cs="Tahoma"/>
          <w:sz w:val="22"/>
        </w:rPr>
      </w:pPr>
    </w:p>
    <w:p w:rsidR="00500B6B" w:rsidRDefault="00500B6B" w:rsidP="001621B4">
      <w:pPr>
        <w:jc w:val="both"/>
        <w:rPr>
          <w:rFonts w:ascii="Tahoma" w:hAnsi="Tahoma" w:cs="Tahoma"/>
          <w:sz w:val="22"/>
          <w:szCs w:val="22"/>
        </w:rPr>
      </w:pPr>
    </w:p>
    <w:p w:rsidR="00A623F9" w:rsidRPr="00076768" w:rsidRDefault="000C567A" w:rsidP="00A623F9">
      <w:pPr>
        <w:jc w:val="both"/>
        <w:rPr>
          <w:rFonts w:ascii="Tahoma" w:hAnsi="Tahoma" w:cs="Tahoma"/>
          <w:b/>
          <w:bCs/>
          <w:sz w:val="22"/>
          <w:szCs w:val="22"/>
        </w:rPr>
      </w:pPr>
      <w:r w:rsidRPr="00076768">
        <w:rPr>
          <w:rFonts w:ascii="Tahoma" w:hAnsi="Tahoma" w:cs="Tahoma"/>
          <w:b/>
          <w:sz w:val="22"/>
          <w:szCs w:val="22"/>
        </w:rPr>
        <w:lastRenderedPageBreak/>
        <w:t>2.3.</w:t>
      </w:r>
      <w:r w:rsidR="00A623F9" w:rsidRPr="00076768">
        <w:rPr>
          <w:rFonts w:ascii="Tahoma" w:hAnsi="Tahoma" w:cs="Tahoma"/>
          <w:b/>
          <w:bCs/>
        </w:rPr>
        <w:t>   FINANCIJSKI RASHODI</w:t>
      </w:r>
    </w:p>
    <w:p w:rsidR="00A623F9" w:rsidRPr="00076768" w:rsidRDefault="00A623F9" w:rsidP="00A623F9">
      <w:pPr>
        <w:jc w:val="both"/>
        <w:rPr>
          <w:rFonts w:ascii="Tahoma" w:hAnsi="Tahoma" w:cs="Tahoma"/>
          <w:b/>
          <w:bCs/>
        </w:rPr>
      </w:pPr>
    </w:p>
    <w:p w:rsidR="00A623F9" w:rsidRPr="004960D4" w:rsidRDefault="00A623F9" w:rsidP="00A623F9">
      <w:pPr>
        <w:jc w:val="both"/>
        <w:rPr>
          <w:rFonts w:ascii="Tahoma" w:hAnsi="Tahoma" w:cs="Tahoma"/>
          <w:color w:val="FF0000"/>
          <w:sz w:val="22"/>
        </w:rPr>
      </w:pPr>
      <w:r w:rsidRPr="00076768">
        <w:rPr>
          <w:rFonts w:ascii="Tahoma" w:hAnsi="Tahoma" w:cs="Tahoma"/>
          <w:b/>
          <w:bCs/>
          <w:sz w:val="22"/>
          <w:u w:val="single"/>
        </w:rPr>
        <w:t>Financijski rashodi (Šifra 34)</w:t>
      </w:r>
      <w:r w:rsidRPr="00076768">
        <w:rPr>
          <w:rFonts w:ascii="Tahoma" w:hAnsi="Tahoma" w:cs="Tahoma"/>
          <w:sz w:val="22"/>
        </w:rPr>
        <w:t xml:space="preserve"> prema proračunskom računovodstvu u razdoblju siječanj-prosinac 2023. godine ostvareni su u iznosu od 694.765 EUR što je za 172,9% više u odnosu na isto razdoblje 2022. godine. Povećanje se odnosi na rashode za zatezne kamate, a rezultat je više isplaćenih sudskih presuda na ime razlike uvećanja plaća za prekovremeni rad, kako u broju tako i u vrijednosti isplaćenih predmeta.</w:t>
      </w:r>
    </w:p>
    <w:p w:rsidR="00A623F9" w:rsidRPr="00076768" w:rsidRDefault="00A623F9" w:rsidP="00A623F9">
      <w:pPr>
        <w:jc w:val="both"/>
        <w:rPr>
          <w:rFonts w:ascii="Tahoma" w:hAnsi="Tahoma" w:cs="Tahoma"/>
        </w:rPr>
      </w:pPr>
    </w:p>
    <w:tbl>
      <w:tblPr>
        <w:tblW w:w="0" w:type="auto"/>
        <w:tblInd w:w="108" w:type="dxa"/>
        <w:tblCellMar>
          <w:left w:w="0" w:type="dxa"/>
          <w:right w:w="0" w:type="dxa"/>
        </w:tblCellMar>
        <w:tblLook w:val="04A0" w:firstRow="1" w:lastRow="0" w:firstColumn="1" w:lastColumn="0" w:noHBand="0" w:noVBand="1"/>
      </w:tblPr>
      <w:tblGrid>
        <w:gridCol w:w="2297"/>
        <w:gridCol w:w="1985"/>
        <w:gridCol w:w="1814"/>
        <w:gridCol w:w="2580"/>
      </w:tblGrid>
      <w:tr w:rsidR="00A623F9" w:rsidRPr="00076768" w:rsidTr="00A623F9">
        <w:trPr>
          <w:trHeight w:val="609"/>
        </w:trPr>
        <w:tc>
          <w:tcPr>
            <w:tcW w:w="229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ind w:right="-41"/>
              <w:jc w:val="center"/>
              <w:rPr>
                <w:rFonts w:ascii="Tahoma" w:hAnsi="Tahoma" w:cs="Tahoma"/>
                <w:b/>
                <w:bCs/>
                <w:sz w:val="22"/>
                <w:szCs w:val="22"/>
              </w:rPr>
            </w:pPr>
            <w:r w:rsidRPr="00076768">
              <w:rPr>
                <w:rFonts w:ascii="Tahoma" w:hAnsi="Tahoma" w:cs="Tahoma"/>
                <w:b/>
                <w:bCs/>
                <w:sz w:val="22"/>
                <w:szCs w:val="22"/>
              </w:rPr>
              <w:t>Financijski rashodi</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center"/>
              <w:rPr>
                <w:rFonts w:ascii="Tahoma" w:hAnsi="Tahoma" w:cs="Tahoma"/>
                <w:b/>
                <w:bCs/>
                <w:sz w:val="22"/>
                <w:szCs w:val="22"/>
              </w:rPr>
            </w:pPr>
            <w:r w:rsidRPr="00076768">
              <w:rPr>
                <w:rFonts w:ascii="Tahoma" w:hAnsi="Tahoma" w:cs="Tahoma"/>
                <w:b/>
                <w:bCs/>
                <w:sz w:val="22"/>
                <w:szCs w:val="22"/>
              </w:rPr>
              <w:t>Izvršenje</w:t>
            </w:r>
          </w:p>
          <w:p w:rsidR="00A623F9" w:rsidRPr="00076768" w:rsidRDefault="00A623F9">
            <w:pPr>
              <w:jc w:val="center"/>
              <w:rPr>
                <w:rFonts w:ascii="Tahoma" w:hAnsi="Tahoma" w:cs="Tahoma"/>
                <w:b/>
                <w:bCs/>
                <w:sz w:val="22"/>
                <w:szCs w:val="22"/>
              </w:rPr>
            </w:pPr>
            <w:r w:rsidRPr="00076768">
              <w:rPr>
                <w:rFonts w:ascii="Tahoma" w:hAnsi="Tahoma" w:cs="Tahoma"/>
                <w:b/>
                <w:bCs/>
                <w:sz w:val="22"/>
                <w:szCs w:val="22"/>
              </w:rPr>
              <w:t>2022</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center"/>
              <w:rPr>
                <w:rFonts w:ascii="Tahoma" w:hAnsi="Tahoma" w:cs="Tahoma"/>
                <w:b/>
                <w:bCs/>
                <w:sz w:val="22"/>
                <w:szCs w:val="22"/>
              </w:rPr>
            </w:pPr>
            <w:r w:rsidRPr="00076768">
              <w:rPr>
                <w:rFonts w:ascii="Tahoma" w:hAnsi="Tahoma" w:cs="Tahoma"/>
                <w:b/>
                <w:bCs/>
                <w:sz w:val="22"/>
                <w:szCs w:val="22"/>
              </w:rPr>
              <w:t xml:space="preserve">Izvršenje </w:t>
            </w:r>
          </w:p>
          <w:p w:rsidR="00A623F9" w:rsidRPr="00076768" w:rsidRDefault="00A623F9">
            <w:pPr>
              <w:jc w:val="center"/>
              <w:rPr>
                <w:rFonts w:ascii="Tahoma" w:hAnsi="Tahoma" w:cs="Tahoma"/>
                <w:b/>
                <w:bCs/>
                <w:sz w:val="22"/>
                <w:szCs w:val="22"/>
              </w:rPr>
            </w:pPr>
            <w:r w:rsidRPr="00076768">
              <w:rPr>
                <w:rFonts w:ascii="Tahoma" w:hAnsi="Tahoma" w:cs="Tahoma"/>
                <w:b/>
                <w:bCs/>
                <w:sz w:val="22"/>
                <w:szCs w:val="22"/>
              </w:rPr>
              <w:t>2023</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center"/>
              <w:rPr>
                <w:rFonts w:ascii="Tahoma" w:hAnsi="Tahoma" w:cs="Tahoma"/>
                <w:b/>
                <w:bCs/>
                <w:sz w:val="22"/>
                <w:szCs w:val="22"/>
              </w:rPr>
            </w:pPr>
            <w:r w:rsidRPr="00076768">
              <w:rPr>
                <w:rFonts w:ascii="Tahoma" w:hAnsi="Tahoma" w:cs="Tahoma"/>
                <w:b/>
                <w:bCs/>
                <w:sz w:val="22"/>
                <w:szCs w:val="22"/>
              </w:rPr>
              <w:t>Indeks</w:t>
            </w:r>
          </w:p>
          <w:p w:rsidR="00A623F9" w:rsidRPr="00076768" w:rsidRDefault="00A623F9">
            <w:pPr>
              <w:jc w:val="center"/>
              <w:rPr>
                <w:rFonts w:ascii="Tahoma" w:hAnsi="Tahoma" w:cs="Tahoma"/>
                <w:b/>
                <w:bCs/>
                <w:sz w:val="22"/>
                <w:szCs w:val="22"/>
              </w:rPr>
            </w:pPr>
            <w:r w:rsidRPr="00076768">
              <w:rPr>
                <w:rFonts w:ascii="Tahoma" w:hAnsi="Tahoma" w:cs="Tahoma"/>
                <w:b/>
                <w:bCs/>
                <w:sz w:val="22"/>
                <w:szCs w:val="22"/>
              </w:rPr>
              <w:t>2023/2022</w:t>
            </w:r>
          </w:p>
        </w:tc>
      </w:tr>
      <w:tr w:rsidR="00A623F9" w:rsidRPr="00076768" w:rsidTr="00A623F9">
        <w:trPr>
          <w:trHeight w:val="447"/>
        </w:trPr>
        <w:tc>
          <w:tcPr>
            <w:tcW w:w="0" w:type="auto"/>
            <w:vMerge/>
            <w:tcBorders>
              <w:top w:val="single" w:sz="8" w:space="0" w:color="auto"/>
              <w:left w:val="single" w:sz="8" w:space="0" w:color="auto"/>
              <w:bottom w:val="single" w:sz="8" w:space="0" w:color="auto"/>
              <w:right w:val="single" w:sz="8" w:space="0" w:color="auto"/>
            </w:tcBorders>
            <w:vAlign w:val="center"/>
            <w:hideMark/>
          </w:tcPr>
          <w:p w:rsidR="00A623F9" w:rsidRPr="00076768" w:rsidRDefault="00A623F9">
            <w:pPr>
              <w:rPr>
                <w:rFonts w:ascii="Tahoma" w:eastAsiaTheme="minorHAnsi" w:hAnsi="Tahoma" w:cs="Tahoma"/>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right"/>
              <w:rPr>
                <w:rFonts w:ascii="Tahoma" w:hAnsi="Tahoma" w:cs="Tahoma"/>
                <w:b/>
                <w:bCs/>
                <w:sz w:val="22"/>
                <w:szCs w:val="22"/>
              </w:rPr>
            </w:pPr>
            <w:r w:rsidRPr="00076768">
              <w:rPr>
                <w:rFonts w:ascii="Tahoma" w:hAnsi="Tahoma" w:cs="Tahoma"/>
                <w:b/>
                <w:bCs/>
                <w:sz w:val="22"/>
                <w:szCs w:val="22"/>
              </w:rPr>
              <w:t>255.517</w:t>
            </w:r>
          </w:p>
        </w:tc>
        <w:tc>
          <w:tcPr>
            <w:tcW w:w="18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right"/>
              <w:rPr>
                <w:rFonts w:ascii="Tahoma" w:hAnsi="Tahoma" w:cs="Tahoma"/>
                <w:b/>
                <w:bCs/>
                <w:sz w:val="22"/>
                <w:szCs w:val="22"/>
              </w:rPr>
            </w:pPr>
            <w:r w:rsidRPr="00076768">
              <w:rPr>
                <w:rFonts w:ascii="Tahoma" w:hAnsi="Tahoma" w:cs="Tahoma"/>
                <w:b/>
                <w:bCs/>
                <w:sz w:val="22"/>
                <w:szCs w:val="22"/>
              </w:rPr>
              <w:t>694.765</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right"/>
              <w:rPr>
                <w:rFonts w:ascii="Tahoma" w:hAnsi="Tahoma" w:cs="Tahoma"/>
                <w:b/>
                <w:bCs/>
                <w:sz w:val="22"/>
                <w:szCs w:val="22"/>
              </w:rPr>
            </w:pPr>
            <w:r w:rsidRPr="00076768">
              <w:rPr>
                <w:rFonts w:ascii="Tahoma" w:hAnsi="Tahoma" w:cs="Tahoma"/>
                <w:b/>
                <w:bCs/>
                <w:sz w:val="22"/>
                <w:szCs w:val="22"/>
              </w:rPr>
              <w:t>2,72</w:t>
            </w:r>
          </w:p>
        </w:tc>
      </w:tr>
    </w:tbl>
    <w:p w:rsidR="00A623F9" w:rsidRDefault="00A623F9" w:rsidP="00A623F9">
      <w:pPr>
        <w:jc w:val="both"/>
        <w:rPr>
          <w:rFonts w:ascii="Tahoma" w:hAnsi="Tahoma" w:cs="Tahoma"/>
          <w:sz w:val="22"/>
          <w:szCs w:val="22"/>
        </w:rPr>
      </w:pPr>
    </w:p>
    <w:p w:rsidR="004960D4" w:rsidRPr="00076768" w:rsidRDefault="004960D4" w:rsidP="00A623F9">
      <w:pPr>
        <w:jc w:val="both"/>
        <w:rPr>
          <w:rFonts w:ascii="Tahoma" w:hAnsi="Tahoma" w:cs="Tahoma"/>
          <w:sz w:val="22"/>
          <w:szCs w:val="22"/>
        </w:rPr>
      </w:pPr>
    </w:p>
    <w:p w:rsidR="00A623F9" w:rsidRPr="00076768" w:rsidRDefault="00A623F9" w:rsidP="00A623F9">
      <w:pPr>
        <w:jc w:val="both"/>
        <w:rPr>
          <w:rFonts w:ascii="Tahoma" w:hAnsi="Tahoma" w:cs="Tahoma"/>
          <w:b/>
          <w:bCs/>
          <w:sz w:val="22"/>
          <w:szCs w:val="22"/>
        </w:rPr>
      </w:pPr>
      <w:r w:rsidRPr="00076768">
        <w:rPr>
          <w:rFonts w:ascii="Tahoma" w:hAnsi="Tahoma" w:cs="Tahoma"/>
          <w:b/>
          <w:bCs/>
          <w:sz w:val="22"/>
          <w:szCs w:val="22"/>
        </w:rPr>
        <w:t>2.4.    OSTALE NAKNADE GRAĐANIMA I KUĆANSTVIMA IZ PRORAČUNA</w:t>
      </w:r>
    </w:p>
    <w:p w:rsidR="00A623F9" w:rsidRPr="00076768" w:rsidRDefault="00A623F9" w:rsidP="00A623F9">
      <w:pPr>
        <w:jc w:val="both"/>
        <w:rPr>
          <w:rFonts w:ascii="Tahoma" w:hAnsi="Tahoma" w:cs="Tahoma"/>
          <w:b/>
          <w:bCs/>
          <w:sz w:val="22"/>
          <w:szCs w:val="22"/>
          <w:u w:val="single"/>
        </w:rPr>
      </w:pPr>
    </w:p>
    <w:p w:rsidR="00A623F9" w:rsidRPr="00076768" w:rsidRDefault="00A623F9" w:rsidP="00A623F9">
      <w:pPr>
        <w:jc w:val="both"/>
        <w:rPr>
          <w:rFonts w:ascii="Tahoma" w:hAnsi="Tahoma" w:cs="Tahoma"/>
          <w:sz w:val="22"/>
          <w:szCs w:val="22"/>
        </w:rPr>
      </w:pPr>
      <w:r w:rsidRPr="00076768">
        <w:rPr>
          <w:rFonts w:ascii="Tahoma" w:hAnsi="Tahoma" w:cs="Tahoma"/>
          <w:b/>
          <w:bCs/>
          <w:sz w:val="22"/>
          <w:szCs w:val="22"/>
          <w:u w:val="single"/>
        </w:rPr>
        <w:t>Ostale naknade građanima i kućanstvima iz proračuna (Šifra 372)</w:t>
      </w:r>
      <w:r w:rsidRPr="00076768">
        <w:rPr>
          <w:rFonts w:ascii="Tahoma" w:hAnsi="Tahoma" w:cs="Tahoma"/>
          <w:sz w:val="22"/>
          <w:szCs w:val="22"/>
          <w:u w:val="single"/>
        </w:rPr>
        <w:t xml:space="preserve"> </w:t>
      </w:r>
      <w:r w:rsidRPr="00076768">
        <w:rPr>
          <w:rFonts w:ascii="Tahoma" w:hAnsi="Tahoma" w:cs="Tahoma"/>
          <w:sz w:val="22"/>
          <w:szCs w:val="22"/>
        </w:rPr>
        <w:t xml:space="preserve">u razdoblju siječanj-prosinac 2023. godine ostvareni su u iznosu od 182.609 EUR što je za </w:t>
      </w:r>
      <w:r w:rsidR="00693A92">
        <w:rPr>
          <w:rFonts w:ascii="Tahoma" w:hAnsi="Tahoma" w:cs="Tahoma"/>
          <w:sz w:val="22"/>
          <w:szCs w:val="22"/>
        </w:rPr>
        <w:t>26,4</w:t>
      </w:r>
      <w:r w:rsidRPr="00076768">
        <w:rPr>
          <w:rFonts w:ascii="Tahoma" w:hAnsi="Tahoma" w:cs="Tahoma"/>
          <w:sz w:val="22"/>
          <w:szCs w:val="22"/>
        </w:rPr>
        <w:t>% više u odnosu na isto razdoblje prethodne godine. Povećanje se odnosi na isplaćene specijalističke ispite i školarine za djelatnike.</w:t>
      </w:r>
    </w:p>
    <w:p w:rsidR="00A623F9" w:rsidRPr="00076768" w:rsidRDefault="00A623F9" w:rsidP="00A623F9">
      <w:pPr>
        <w:jc w:val="both"/>
        <w:rPr>
          <w:rFonts w:ascii="Tahoma" w:hAnsi="Tahoma" w:cs="Tahoma"/>
          <w:sz w:val="22"/>
          <w:szCs w:val="22"/>
        </w:rPr>
      </w:pPr>
    </w:p>
    <w:tbl>
      <w:tblPr>
        <w:tblW w:w="0" w:type="auto"/>
        <w:tblInd w:w="108" w:type="dxa"/>
        <w:tblCellMar>
          <w:left w:w="0" w:type="dxa"/>
          <w:right w:w="0" w:type="dxa"/>
        </w:tblCellMar>
        <w:tblLook w:val="04A0" w:firstRow="1" w:lastRow="0" w:firstColumn="1" w:lastColumn="0" w:noHBand="0" w:noVBand="1"/>
      </w:tblPr>
      <w:tblGrid>
        <w:gridCol w:w="2694"/>
        <w:gridCol w:w="1984"/>
        <w:gridCol w:w="1701"/>
        <w:gridCol w:w="2297"/>
      </w:tblGrid>
      <w:tr w:rsidR="00A623F9" w:rsidRPr="00076768" w:rsidTr="00A623F9">
        <w:trPr>
          <w:trHeight w:val="609"/>
        </w:trPr>
        <w:tc>
          <w:tcPr>
            <w:tcW w:w="26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ind w:right="-41"/>
              <w:jc w:val="center"/>
              <w:rPr>
                <w:rFonts w:ascii="Tahoma" w:hAnsi="Tahoma" w:cs="Tahoma"/>
                <w:b/>
                <w:bCs/>
                <w:sz w:val="22"/>
                <w:szCs w:val="22"/>
              </w:rPr>
            </w:pPr>
            <w:r w:rsidRPr="00076768">
              <w:rPr>
                <w:rFonts w:ascii="Tahoma" w:hAnsi="Tahoma" w:cs="Tahoma"/>
                <w:b/>
                <w:bCs/>
                <w:sz w:val="22"/>
                <w:szCs w:val="22"/>
              </w:rPr>
              <w:t>Ostali rashodi</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center"/>
              <w:rPr>
                <w:rFonts w:ascii="Tahoma" w:hAnsi="Tahoma" w:cs="Tahoma"/>
                <w:b/>
                <w:bCs/>
                <w:sz w:val="22"/>
                <w:szCs w:val="22"/>
              </w:rPr>
            </w:pPr>
            <w:r w:rsidRPr="00076768">
              <w:rPr>
                <w:rFonts w:ascii="Tahoma" w:hAnsi="Tahoma" w:cs="Tahoma"/>
                <w:b/>
                <w:bCs/>
                <w:sz w:val="22"/>
                <w:szCs w:val="22"/>
              </w:rPr>
              <w:t>Izvršenje</w:t>
            </w:r>
          </w:p>
          <w:p w:rsidR="00A623F9" w:rsidRPr="00076768" w:rsidRDefault="00A623F9">
            <w:pPr>
              <w:jc w:val="center"/>
              <w:rPr>
                <w:rFonts w:ascii="Tahoma" w:hAnsi="Tahoma" w:cs="Tahoma"/>
                <w:b/>
                <w:bCs/>
                <w:sz w:val="22"/>
                <w:szCs w:val="22"/>
              </w:rPr>
            </w:pPr>
            <w:r w:rsidRPr="00076768">
              <w:rPr>
                <w:rFonts w:ascii="Tahoma" w:hAnsi="Tahoma" w:cs="Tahoma"/>
                <w:b/>
                <w:bCs/>
                <w:sz w:val="22"/>
                <w:szCs w:val="22"/>
              </w:rPr>
              <w:t>2022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center"/>
              <w:rPr>
                <w:rFonts w:ascii="Tahoma" w:hAnsi="Tahoma" w:cs="Tahoma"/>
                <w:b/>
                <w:bCs/>
                <w:sz w:val="22"/>
                <w:szCs w:val="22"/>
              </w:rPr>
            </w:pPr>
            <w:r w:rsidRPr="00076768">
              <w:rPr>
                <w:rFonts w:ascii="Tahoma" w:hAnsi="Tahoma" w:cs="Tahoma"/>
                <w:b/>
                <w:bCs/>
                <w:sz w:val="22"/>
                <w:szCs w:val="22"/>
              </w:rPr>
              <w:t>Izvršenje</w:t>
            </w:r>
          </w:p>
          <w:p w:rsidR="00A623F9" w:rsidRPr="00076768" w:rsidRDefault="00A623F9">
            <w:pPr>
              <w:jc w:val="center"/>
              <w:rPr>
                <w:rFonts w:ascii="Tahoma" w:hAnsi="Tahoma" w:cs="Tahoma"/>
                <w:b/>
                <w:bCs/>
                <w:sz w:val="22"/>
                <w:szCs w:val="22"/>
              </w:rPr>
            </w:pPr>
            <w:r w:rsidRPr="00076768">
              <w:rPr>
                <w:rFonts w:ascii="Tahoma" w:hAnsi="Tahoma" w:cs="Tahoma"/>
                <w:b/>
                <w:bCs/>
                <w:sz w:val="22"/>
                <w:szCs w:val="22"/>
              </w:rPr>
              <w:t>2023</w:t>
            </w:r>
          </w:p>
        </w:tc>
        <w:tc>
          <w:tcPr>
            <w:tcW w:w="22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center"/>
              <w:rPr>
                <w:rFonts w:ascii="Tahoma" w:hAnsi="Tahoma" w:cs="Tahoma"/>
                <w:b/>
                <w:bCs/>
                <w:sz w:val="22"/>
                <w:szCs w:val="22"/>
              </w:rPr>
            </w:pPr>
            <w:r w:rsidRPr="00076768">
              <w:rPr>
                <w:rFonts w:ascii="Tahoma" w:hAnsi="Tahoma" w:cs="Tahoma"/>
                <w:b/>
                <w:bCs/>
                <w:sz w:val="22"/>
                <w:szCs w:val="22"/>
              </w:rPr>
              <w:t>Indeks</w:t>
            </w:r>
          </w:p>
          <w:p w:rsidR="00A623F9" w:rsidRPr="00076768" w:rsidRDefault="00A623F9">
            <w:pPr>
              <w:jc w:val="center"/>
              <w:rPr>
                <w:rFonts w:ascii="Tahoma" w:hAnsi="Tahoma" w:cs="Tahoma"/>
                <w:b/>
                <w:bCs/>
                <w:sz w:val="22"/>
                <w:szCs w:val="22"/>
              </w:rPr>
            </w:pPr>
            <w:r w:rsidRPr="00076768">
              <w:rPr>
                <w:rFonts w:ascii="Tahoma" w:hAnsi="Tahoma" w:cs="Tahoma"/>
                <w:b/>
                <w:bCs/>
                <w:sz w:val="22"/>
                <w:szCs w:val="22"/>
              </w:rPr>
              <w:t>2023/2022</w:t>
            </w:r>
          </w:p>
        </w:tc>
      </w:tr>
      <w:tr w:rsidR="00A623F9" w:rsidRPr="00076768" w:rsidTr="00A623F9">
        <w:trPr>
          <w:trHeight w:val="447"/>
        </w:trPr>
        <w:tc>
          <w:tcPr>
            <w:tcW w:w="0" w:type="auto"/>
            <w:vMerge/>
            <w:tcBorders>
              <w:top w:val="single" w:sz="8" w:space="0" w:color="auto"/>
              <w:left w:val="single" w:sz="8" w:space="0" w:color="auto"/>
              <w:bottom w:val="single" w:sz="8" w:space="0" w:color="auto"/>
              <w:right w:val="single" w:sz="8" w:space="0" w:color="auto"/>
            </w:tcBorders>
            <w:vAlign w:val="center"/>
            <w:hideMark/>
          </w:tcPr>
          <w:p w:rsidR="00A623F9" w:rsidRPr="00076768" w:rsidRDefault="00A623F9">
            <w:pPr>
              <w:rPr>
                <w:rFonts w:ascii="Tahoma" w:eastAsiaTheme="minorHAnsi" w:hAnsi="Tahoma" w:cs="Tahoma"/>
                <w:b/>
                <w:bCs/>
                <w:sz w:val="22"/>
                <w:szCs w:val="22"/>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right"/>
              <w:rPr>
                <w:rFonts w:ascii="Tahoma" w:hAnsi="Tahoma" w:cs="Tahoma"/>
                <w:b/>
                <w:bCs/>
                <w:sz w:val="22"/>
                <w:szCs w:val="22"/>
              </w:rPr>
            </w:pPr>
            <w:r w:rsidRPr="00076768">
              <w:rPr>
                <w:rFonts w:ascii="Tahoma" w:hAnsi="Tahoma" w:cs="Tahoma"/>
                <w:b/>
                <w:bCs/>
                <w:sz w:val="22"/>
                <w:szCs w:val="22"/>
              </w:rPr>
              <w:t>144.525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right"/>
              <w:rPr>
                <w:rFonts w:ascii="Tahoma" w:hAnsi="Tahoma" w:cs="Tahoma"/>
                <w:b/>
                <w:bCs/>
                <w:sz w:val="22"/>
                <w:szCs w:val="22"/>
              </w:rPr>
            </w:pPr>
            <w:r w:rsidRPr="00076768">
              <w:rPr>
                <w:rFonts w:ascii="Tahoma" w:hAnsi="Tahoma" w:cs="Tahoma"/>
                <w:b/>
                <w:bCs/>
                <w:sz w:val="22"/>
                <w:szCs w:val="22"/>
              </w:rPr>
              <w:t>182.609</w:t>
            </w:r>
          </w:p>
        </w:tc>
        <w:tc>
          <w:tcPr>
            <w:tcW w:w="22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right"/>
              <w:rPr>
                <w:rFonts w:ascii="Tahoma" w:hAnsi="Tahoma" w:cs="Tahoma"/>
                <w:b/>
                <w:bCs/>
                <w:sz w:val="22"/>
                <w:szCs w:val="22"/>
              </w:rPr>
            </w:pPr>
            <w:r w:rsidRPr="00076768">
              <w:rPr>
                <w:rFonts w:ascii="Tahoma" w:hAnsi="Tahoma" w:cs="Tahoma"/>
                <w:b/>
                <w:bCs/>
                <w:sz w:val="22"/>
                <w:szCs w:val="22"/>
              </w:rPr>
              <w:t>1,26</w:t>
            </w:r>
          </w:p>
        </w:tc>
      </w:tr>
    </w:tbl>
    <w:p w:rsidR="00A623F9" w:rsidRDefault="00A623F9" w:rsidP="00A623F9">
      <w:pPr>
        <w:jc w:val="both"/>
        <w:rPr>
          <w:rFonts w:ascii="Tahoma" w:hAnsi="Tahoma" w:cs="Tahoma"/>
          <w:sz w:val="22"/>
          <w:szCs w:val="22"/>
        </w:rPr>
      </w:pPr>
    </w:p>
    <w:p w:rsidR="004960D4" w:rsidRPr="00076768" w:rsidRDefault="004960D4" w:rsidP="00A623F9">
      <w:pPr>
        <w:jc w:val="both"/>
        <w:rPr>
          <w:rFonts w:ascii="Tahoma" w:hAnsi="Tahoma" w:cs="Tahoma"/>
          <w:sz w:val="22"/>
          <w:szCs w:val="22"/>
        </w:rPr>
      </w:pPr>
    </w:p>
    <w:p w:rsidR="00A623F9" w:rsidRPr="00076768" w:rsidRDefault="00A623F9" w:rsidP="00A623F9">
      <w:pPr>
        <w:jc w:val="both"/>
        <w:rPr>
          <w:rFonts w:ascii="Tahoma" w:hAnsi="Tahoma" w:cs="Tahoma"/>
          <w:b/>
          <w:bCs/>
          <w:sz w:val="22"/>
          <w:szCs w:val="22"/>
        </w:rPr>
      </w:pPr>
      <w:r w:rsidRPr="00076768">
        <w:rPr>
          <w:rFonts w:ascii="Tahoma" w:hAnsi="Tahoma" w:cs="Tahoma"/>
          <w:b/>
          <w:bCs/>
          <w:sz w:val="22"/>
          <w:szCs w:val="22"/>
        </w:rPr>
        <w:t>2.5.    RASHODI ZA NABAVU NEFINANCIJSKE IMOVINE (KAPITALNA ULAGANJA)</w:t>
      </w:r>
    </w:p>
    <w:p w:rsidR="00A623F9" w:rsidRPr="00076768" w:rsidRDefault="00A623F9" w:rsidP="00A623F9">
      <w:pPr>
        <w:pStyle w:val="ListParagraph"/>
        <w:jc w:val="both"/>
        <w:rPr>
          <w:rFonts w:ascii="Tahoma" w:hAnsi="Tahoma" w:cs="Tahoma"/>
          <w:sz w:val="22"/>
          <w:szCs w:val="22"/>
        </w:rPr>
      </w:pPr>
    </w:p>
    <w:p w:rsidR="00A623F9" w:rsidRPr="00076768" w:rsidRDefault="00A623F9" w:rsidP="00A623F9">
      <w:pPr>
        <w:jc w:val="both"/>
        <w:rPr>
          <w:rFonts w:ascii="Tahoma" w:hAnsi="Tahoma" w:cs="Tahoma"/>
          <w:sz w:val="22"/>
          <w:szCs w:val="22"/>
        </w:rPr>
      </w:pPr>
      <w:r w:rsidRPr="00076768">
        <w:rPr>
          <w:rFonts w:ascii="Tahoma" w:hAnsi="Tahoma" w:cs="Tahoma"/>
          <w:b/>
          <w:bCs/>
          <w:sz w:val="22"/>
          <w:szCs w:val="22"/>
          <w:u w:val="single"/>
        </w:rPr>
        <w:t>Rashodi za nabavu nefinancijske imovine (Šifra 4)</w:t>
      </w:r>
      <w:r w:rsidRPr="00076768">
        <w:rPr>
          <w:rFonts w:ascii="Tahoma" w:hAnsi="Tahoma" w:cs="Tahoma"/>
          <w:sz w:val="22"/>
          <w:szCs w:val="22"/>
        </w:rPr>
        <w:t xml:space="preserve"> u razdoblju siječanj-prosinac 2023. godine ostvareni su u iznosu od 53.381.786 EUR</w:t>
      </w:r>
      <w:r w:rsidRPr="00076768">
        <w:rPr>
          <w:rFonts w:ascii="Tahoma" w:hAnsi="Tahoma" w:cs="Tahoma"/>
          <w:sz w:val="22"/>
          <w:szCs w:val="22"/>
          <w:lang w:eastAsia="hr-HR"/>
        </w:rPr>
        <w:t xml:space="preserve"> što je za 277,1% više u odnosu </w:t>
      </w:r>
      <w:r w:rsidRPr="00076768">
        <w:rPr>
          <w:rFonts w:ascii="Tahoma" w:hAnsi="Tahoma" w:cs="Tahoma"/>
          <w:sz w:val="22"/>
          <w:szCs w:val="22"/>
        </w:rPr>
        <w:t xml:space="preserve">na isto razdoblje 2022. godine. </w:t>
      </w:r>
    </w:p>
    <w:p w:rsidR="00A623F9" w:rsidRPr="00076768" w:rsidRDefault="00A623F9" w:rsidP="00A623F9">
      <w:pPr>
        <w:jc w:val="both"/>
        <w:rPr>
          <w:rFonts w:ascii="Tahoma" w:hAnsi="Tahoma" w:cs="Tahoma"/>
          <w:sz w:val="22"/>
          <w:szCs w:val="22"/>
        </w:rPr>
      </w:pPr>
    </w:p>
    <w:tbl>
      <w:tblPr>
        <w:tblW w:w="0" w:type="auto"/>
        <w:tblInd w:w="108" w:type="dxa"/>
        <w:tblCellMar>
          <w:left w:w="0" w:type="dxa"/>
          <w:right w:w="0" w:type="dxa"/>
        </w:tblCellMar>
        <w:tblLook w:val="04A0" w:firstRow="1" w:lastRow="0" w:firstColumn="1" w:lastColumn="0" w:noHBand="0" w:noVBand="1"/>
      </w:tblPr>
      <w:tblGrid>
        <w:gridCol w:w="2155"/>
        <w:gridCol w:w="1985"/>
        <w:gridCol w:w="1984"/>
        <w:gridCol w:w="2552"/>
      </w:tblGrid>
      <w:tr w:rsidR="00A623F9" w:rsidRPr="00076768" w:rsidTr="00A623F9">
        <w:trPr>
          <w:trHeight w:val="609"/>
        </w:trPr>
        <w:tc>
          <w:tcPr>
            <w:tcW w:w="21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ind w:right="-41"/>
              <w:jc w:val="center"/>
              <w:rPr>
                <w:rFonts w:ascii="Tahoma" w:hAnsi="Tahoma" w:cs="Tahoma"/>
                <w:b/>
                <w:bCs/>
                <w:sz w:val="22"/>
                <w:szCs w:val="22"/>
              </w:rPr>
            </w:pPr>
            <w:r w:rsidRPr="00076768">
              <w:rPr>
                <w:rFonts w:ascii="Tahoma" w:hAnsi="Tahoma" w:cs="Tahoma"/>
                <w:b/>
                <w:bCs/>
                <w:sz w:val="22"/>
                <w:szCs w:val="22"/>
              </w:rPr>
              <w:t>Rashodi za nabavu nefinancijske imovine</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center"/>
              <w:rPr>
                <w:rFonts w:ascii="Tahoma" w:hAnsi="Tahoma" w:cs="Tahoma"/>
                <w:b/>
                <w:bCs/>
                <w:sz w:val="22"/>
                <w:szCs w:val="22"/>
              </w:rPr>
            </w:pPr>
            <w:r w:rsidRPr="00076768">
              <w:rPr>
                <w:rFonts w:ascii="Tahoma" w:hAnsi="Tahoma" w:cs="Tahoma"/>
                <w:b/>
                <w:bCs/>
                <w:sz w:val="22"/>
                <w:szCs w:val="22"/>
              </w:rPr>
              <w:t>Izvršenje</w:t>
            </w:r>
          </w:p>
          <w:p w:rsidR="00A623F9" w:rsidRPr="00076768" w:rsidRDefault="00A623F9">
            <w:pPr>
              <w:jc w:val="center"/>
              <w:rPr>
                <w:rFonts w:ascii="Tahoma" w:hAnsi="Tahoma" w:cs="Tahoma"/>
                <w:b/>
                <w:bCs/>
                <w:sz w:val="22"/>
                <w:szCs w:val="22"/>
              </w:rPr>
            </w:pPr>
            <w:r w:rsidRPr="00076768">
              <w:rPr>
                <w:rFonts w:ascii="Tahoma" w:hAnsi="Tahoma" w:cs="Tahoma"/>
                <w:b/>
                <w:bCs/>
                <w:sz w:val="22"/>
                <w:szCs w:val="22"/>
              </w:rPr>
              <w:t>2022</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center"/>
              <w:rPr>
                <w:rFonts w:ascii="Tahoma" w:hAnsi="Tahoma" w:cs="Tahoma"/>
                <w:b/>
                <w:bCs/>
                <w:sz w:val="22"/>
                <w:szCs w:val="22"/>
              </w:rPr>
            </w:pPr>
            <w:r w:rsidRPr="00076768">
              <w:rPr>
                <w:rFonts w:ascii="Tahoma" w:hAnsi="Tahoma" w:cs="Tahoma"/>
                <w:b/>
                <w:bCs/>
                <w:sz w:val="22"/>
                <w:szCs w:val="22"/>
              </w:rPr>
              <w:t>Izvršenje</w:t>
            </w:r>
          </w:p>
          <w:p w:rsidR="00A623F9" w:rsidRPr="00076768" w:rsidRDefault="00A623F9">
            <w:pPr>
              <w:jc w:val="center"/>
              <w:rPr>
                <w:rFonts w:ascii="Tahoma" w:hAnsi="Tahoma" w:cs="Tahoma"/>
                <w:b/>
                <w:bCs/>
                <w:sz w:val="22"/>
                <w:szCs w:val="22"/>
              </w:rPr>
            </w:pPr>
            <w:r w:rsidRPr="00076768">
              <w:rPr>
                <w:rFonts w:ascii="Tahoma" w:hAnsi="Tahoma" w:cs="Tahoma"/>
                <w:b/>
                <w:bCs/>
                <w:sz w:val="22"/>
                <w:szCs w:val="22"/>
              </w:rPr>
              <w:t>2023</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center"/>
              <w:rPr>
                <w:rFonts w:ascii="Tahoma" w:hAnsi="Tahoma" w:cs="Tahoma"/>
                <w:b/>
                <w:bCs/>
                <w:sz w:val="22"/>
                <w:szCs w:val="22"/>
              </w:rPr>
            </w:pPr>
            <w:r w:rsidRPr="00076768">
              <w:rPr>
                <w:rFonts w:ascii="Tahoma" w:hAnsi="Tahoma" w:cs="Tahoma"/>
                <w:b/>
                <w:bCs/>
                <w:sz w:val="22"/>
                <w:szCs w:val="22"/>
              </w:rPr>
              <w:t>Indeks</w:t>
            </w:r>
          </w:p>
          <w:p w:rsidR="00A623F9" w:rsidRPr="00076768" w:rsidRDefault="00A623F9">
            <w:pPr>
              <w:jc w:val="center"/>
              <w:rPr>
                <w:rFonts w:ascii="Tahoma" w:hAnsi="Tahoma" w:cs="Tahoma"/>
                <w:b/>
                <w:bCs/>
                <w:sz w:val="22"/>
                <w:szCs w:val="22"/>
              </w:rPr>
            </w:pPr>
            <w:r w:rsidRPr="00076768">
              <w:rPr>
                <w:rFonts w:ascii="Tahoma" w:hAnsi="Tahoma" w:cs="Tahoma"/>
                <w:b/>
                <w:bCs/>
                <w:sz w:val="22"/>
                <w:szCs w:val="22"/>
              </w:rPr>
              <w:t>2023/2022</w:t>
            </w:r>
          </w:p>
        </w:tc>
      </w:tr>
      <w:tr w:rsidR="00A623F9" w:rsidRPr="00076768" w:rsidTr="00A623F9">
        <w:trPr>
          <w:trHeight w:val="447"/>
        </w:trPr>
        <w:tc>
          <w:tcPr>
            <w:tcW w:w="0" w:type="auto"/>
            <w:vMerge/>
            <w:tcBorders>
              <w:top w:val="single" w:sz="8" w:space="0" w:color="auto"/>
              <w:left w:val="single" w:sz="8" w:space="0" w:color="auto"/>
              <w:bottom w:val="single" w:sz="8" w:space="0" w:color="auto"/>
              <w:right w:val="single" w:sz="8" w:space="0" w:color="auto"/>
            </w:tcBorders>
            <w:vAlign w:val="center"/>
            <w:hideMark/>
          </w:tcPr>
          <w:p w:rsidR="00A623F9" w:rsidRPr="00076768" w:rsidRDefault="00A623F9">
            <w:pPr>
              <w:rPr>
                <w:rFonts w:ascii="Tahoma" w:eastAsiaTheme="minorHAnsi" w:hAnsi="Tahoma" w:cs="Tahoma"/>
                <w:b/>
                <w:bCs/>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right"/>
              <w:rPr>
                <w:rFonts w:ascii="Tahoma" w:hAnsi="Tahoma" w:cs="Tahoma"/>
                <w:b/>
                <w:bCs/>
                <w:sz w:val="22"/>
                <w:szCs w:val="22"/>
              </w:rPr>
            </w:pPr>
            <w:r w:rsidRPr="00076768">
              <w:rPr>
                <w:rFonts w:ascii="Tahoma" w:hAnsi="Tahoma" w:cs="Tahoma"/>
                <w:b/>
                <w:bCs/>
                <w:sz w:val="22"/>
                <w:szCs w:val="22"/>
              </w:rPr>
              <w:t>14.156.182</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right"/>
              <w:rPr>
                <w:rFonts w:ascii="Tahoma" w:hAnsi="Tahoma" w:cs="Tahoma"/>
                <w:b/>
                <w:bCs/>
                <w:sz w:val="22"/>
                <w:szCs w:val="22"/>
              </w:rPr>
            </w:pPr>
            <w:r w:rsidRPr="00076768">
              <w:rPr>
                <w:rFonts w:ascii="Tahoma" w:hAnsi="Tahoma" w:cs="Tahoma"/>
                <w:b/>
                <w:bCs/>
                <w:sz w:val="22"/>
                <w:szCs w:val="22"/>
              </w:rPr>
              <w:t>53.381.786</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23F9" w:rsidRPr="00076768" w:rsidRDefault="00A623F9">
            <w:pPr>
              <w:jc w:val="right"/>
              <w:rPr>
                <w:rFonts w:ascii="Tahoma" w:hAnsi="Tahoma" w:cs="Tahoma"/>
                <w:b/>
                <w:bCs/>
                <w:sz w:val="22"/>
                <w:szCs w:val="22"/>
              </w:rPr>
            </w:pPr>
            <w:r w:rsidRPr="00076768">
              <w:rPr>
                <w:rFonts w:ascii="Tahoma" w:hAnsi="Tahoma" w:cs="Tahoma"/>
                <w:b/>
                <w:bCs/>
                <w:sz w:val="22"/>
                <w:szCs w:val="22"/>
              </w:rPr>
              <w:t>3,77</w:t>
            </w:r>
          </w:p>
        </w:tc>
      </w:tr>
    </w:tbl>
    <w:p w:rsidR="00A623F9" w:rsidRPr="00076768" w:rsidRDefault="00A623F9" w:rsidP="00A623F9">
      <w:pPr>
        <w:rPr>
          <w:rFonts w:ascii="Tahoma" w:eastAsiaTheme="minorHAnsi" w:hAnsi="Tahoma" w:cs="Tahoma"/>
          <w:sz w:val="22"/>
          <w:szCs w:val="22"/>
        </w:rPr>
      </w:pPr>
    </w:p>
    <w:p w:rsidR="00A623F9" w:rsidRPr="00076768" w:rsidRDefault="00A623F9" w:rsidP="00A623F9">
      <w:pPr>
        <w:jc w:val="both"/>
        <w:rPr>
          <w:rFonts w:ascii="Tahoma" w:hAnsi="Tahoma" w:cs="Tahoma"/>
          <w:sz w:val="22"/>
          <w:szCs w:val="22"/>
        </w:rPr>
      </w:pPr>
      <w:r w:rsidRPr="00076768">
        <w:rPr>
          <w:rFonts w:ascii="Tahoma" w:hAnsi="Tahoma" w:cs="Tahoma"/>
          <w:sz w:val="22"/>
          <w:szCs w:val="22"/>
        </w:rPr>
        <w:t>Od navedenih rashoda najveći dio odnosi se na dodatna ulaganja na građevinskim objektima (38.723.358 EUR), rashode za nabavu medicinske i laboratorijske opreme (12.808.873 EUR), te nabavu uredske opreme i namještaja (628.765 EUR).</w:t>
      </w:r>
    </w:p>
    <w:p w:rsidR="00A623F9" w:rsidRPr="00076768" w:rsidRDefault="00A623F9" w:rsidP="00A623F9">
      <w:pPr>
        <w:rPr>
          <w:rFonts w:ascii="Tahoma" w:hAnsi="Tahoma" w:cs="Tahoma"/>
          <w:sz w:val="22"/>
          <w:szCs w:val="22"/>
        </w:rPr>
      </w:pPr>
    </w:p>
    <w:p w:rsidR="00A623F9" w:rsidRPr="00076768" w:rsidRDefault="00A623F9" w:rsidP="00A623F9">
      <w:pPr>
        <w:jc w:val="both"/>
        <w:rPr>
          <w:rFonts w:ascii="Tahoma" w:hAnsi="Tahoma" w:cs="Tahoma"/>
          <w:sz w:val="22"/>
          <w:szCs w:val="22"/>
        </w:rPr>
      </w:pPr>
      <w:r w:rsidRPr="00076768">
        <w:rPr>
          <w:rFonts w:ascii="Tahoma" w:hAnsi="Tahoma" w:cs="Tahoma"/>
          <w:sz w:val="22"/>
          <w:szCs w:val="22"/>
        </w:rPr>
        <w:t xml:space="preserve">Najznačajnija dodatna ulaganja na građevinskim objektima odnose se na radove na obnovi šteta od potresa za Projekt obnove od potresa bolnice Petrove 13 (FSEU.2021.MZ.004.), Projekt obnove od potresa Klinike za plućne bolesti KBC-a Zagreb na lokaciji </w:t>
      </w:r>
      <w:proofErr w:type="spellStart"/>
      <w:r w:rsidRPr="00076768">
        <w:rPr>
          <w:rFonts w:ascii="Tahoma" w:hAnsi="Tahoma" w:cs="Tahoma"/>
          <w:sz w:val="22"/>
          <w:szCs w:val="22"/>
        </w:rPr>
        <w:t>Jordanovac</w:t>
      </w:r>
      <w:proofErr w:type="spellEnd"/>
      <w:r w:rsidRPr="00076768">
        <w:rPr>
          <w:rFonts w:ascii="Tahoma" w:hAnsi="Tahoma" w:cs="Tahoma"/>
          <w:sz w:val="22"/>
          <w:szCs w:val="22"/>
        </w:rPr>
        <w:t xml:space="preserve"> (FSEU.2021.MZ.010.), Projekt cjelovite obnove od potresa Glavne zgrade KBC-a Zagreb na lokaciji </w:t>
      </w:r>
      <w:proofErr w:type="spellStart"/>
      <w:r w:rsidRPr="00076768">
        <w:rPr>
          <w:rFonts w:ascii="Tahoma" w:hAnsi="Tahoma" w:cs="Tahoma"/>
          <w:sz w:val="22"/>
          <w:szCs w:val="22"/>
        </w:rPr>
        <w:t>Kišpatićeva</w:t>
      </w:r>
      <w:proofErr w:type="spellEnd"/>
      <w:r w:rsidRPr="00076768">
        <w:rPr>
          <w:rFonts w:ascii="Tahoma" w:hAnsi="Tahoma" w:cs="Tahoma"/>
          <w:sz w:val="22"/>
          <w:szCs w:val="22"/>
        </w:rPr>
        <w:t xml:space="preserve"> 12 (FSEU.2021.MZ.024.) i Projekt cjelovite obnove od potresa Žute zgrade u sklopu kompleksa KBC-a Rebro (FSEU.2021.MZ.035.) u ukupnom iznosu od 37.713.904 EUR. Značajnija dodatna ulaganja na građevinskim objektima odnose se na uređenje prostora za smještaj MR 3T uređaja, adaptaciju dijela prizemlja Objedinjenog hitnog bolničkog prijema za smještaj CT-a, radove na uređenju dijela prostora zgrade Laboratorija na lokaciji Petrova 13 te adaptaciju privremenog smještaja klinika i kliničkih zavoda uslijed cjelovite </w:t>
      </w:r>
      <w:r w:rsidR="005D248C">
        <w:rPr>
          <w:rFonts w:ascii="Tahoma" w:hAnsi="Tahoma" w:cs="Tahoma"/>
          <w:sz w:val="22"/>
          <w:szCs w:val="22"/>
        </w:rPr>
        <w:t>obnove od potresa glavne zgrade.</w:t>
      </w:r>
    </w:p>
    <w:p w:rsidR="00A623F9" w:rsidRPr="00076768" w:rsidRDefault="00A623F9" w:rsidP="00A623F9">
      <w:pPr>
        <w:jc w:val="both"/>
        <w:rPr>
          <w:rFonts w:ascii="Tahoma" w:hAnsi="Tahoma" w:cs="Tahoma"/>
          <w:sz w:val="22"/>
          <w:szCs w:val="22"/>
        </w:rPr>
      </w:pPr>
    </w:p>
    <w:p w:rsidR="00A623F9" w:rsidRPr="00076768" w:rsidRDefault="00A623F9" w:rsidP="00A623F9">
      <w:pPr>
        <w:jc w:val="both"/>
        <w:rPr>
          <w:rFonts w:ascii="Tahoma" w:hAnsi="Tahoma" w:cs="Tahoma"/>
          <w:sz w:val="22"/>
          <w:szCs w:val="22"/>
        </w:rPr>
      </w:pPr>
      <w:r w:rsidRPr="00076768">
        <w:rPr>
          <w:rFonts w:ascii="Tahoma" w:hAnsi="Tahoma" w:cs="Tahoma"/>
          <w:sz w:val="22"/>
          <w:szCs w:val="22"/>
        </w:rPr>
        <w:lastRenderedPageBreak/>
        <w:t xml:space="preserve">Najznačajnija ulaganja u medicinsku i laboratorijsku opremu odnose na ulaganja u uređaj MR Magnetom </w:t>
      </w:r>
      <w:proofErr w:type="spellStart"/>
      <w:r w:rsidRPr="00076768">
        <w:rPr>
          <w:rFonts w:ascii="Tahoma" w:hAnsi="Tahoma" w:cs="Tahoma"/>
          <w:sz w:val="22"/>
          <w:szCs w:val="22"/>
        </w:rPr>
        <w:t>Prisma</w:t>
      </w:r>
      <w:proofErr w:type="spellEnd"/>
      <w:r w:rsidRPr="00076768">
        <w:rPr>
          <w:rFonts w:ascii="Tahoma" w:hAnsi="Tahoma" w:cs="Tahoma"/>
          <w:sz w:val="22"/>
          <w:szCs w:val="22"/>
        </w:rPr>
        <w:t xml:space="preserve"> za potrebe </w:t>
      </w:r>
      <w:proofErr w:type="spellStart"/>
      <w:r w:rsidRPr="00076768">
        <w:rPr>
          <w:rFonts w:ascii="Tahoma" w:hAnsi="Tahoma" w:cs="Tahoma"/>
          <w:sz w:val="22"/>
          <w:szCs w:val="22"/>
        </w:rPr>
        <w:t>neuroradiologije</w:t>
      </w:r>
      <w:proofErr w:type="spellEnd"/>
      <w:r w:rsidRPr="00076768">
        <w:rPr>
          <w:rFonts w:ascii="Tahoma" w:hAnsi="Tahoma" w:cs="Tahoma"/>
          <w:sz w:val="22"/>
          <w:szCs w:val="22"/>
        </w:rPr>
        <w:t xml:space="preserve">, endoskopske stupove, CT uređaj za Polikliniku Kliničkog zavoda za dijagnostičku i intervencijsku radiologiju, operacijske lampe, mikroskop operacijski </w:t>
      </w:r>
      <w:proofErr w:type="spellStart"/>
      <w:r w:rsidRPr="00076768">
        <w:rPr>
          <w:rFonts w:ascii="Tahoma" w:hAnsi="Tahoma" w:cs="Tahoma"/>
          <w:sz w:val="22"/>
          <w:szCs w:val="22"/>
        </w:rPr>
        <w:t>Kinevo</w:t>
      </w:r>
      <w:proofErr w:type="spellEnd"/>
      <w:r w:rsidRPr="00076768">
        <w:rPr>
          <w:rFonts w:ascii="Tahoma" w:hAnsi="Tahoma" w:cs="Tahoma"/>
          <w:sz w:val="22"/>
          <w:szCs w:val="22"/>
        </w:rPr>
        <w:t xml:space="preserve"> 900 System, digitalni skener, endoskopske stupovi za potrebe Klinike za urologiju, respirator </w:t>
      </w:r>
      <w:proofErr w:type="spellStart"/>
      <w:r w:rsidRPr="00076768">
        <w:rPr>
          <w:rFonts w:ascii="Tahoma" w:hAnsi="Tahoma" w:cs="Tahoma"/>
          <w:sz w:val="22"/>
          <w:szCs w:val="22"/>
        </w:rPr>
        <w:t>neonatalni</w:t>
      </w:r>
      <w:proofErr w:type="spellEnd"/>
      <w:r w:rsidRPr="00076768">
        <w:rPr>
          <w:rFonts w:ascii="Tahoma" w:hAnsi="Tahoma" w:cs="Tahoma"/>
          <w:sz w:val="22"/>
          <w:szCs w:val="22"/>
        </w:rPr>
        <w:t xml:space="preserve"> s funkcijom visokofrekventne ventilacije, platforme elektrokirurške, nadogradnju linearnog akcelerator</w:t>
      </w:r>
      <w:r w:rsidR="00C007D7">
        <w:rPr>
          <w:rFonts w:ascii="Tahoma" w:hAnsi="Tahoma" w:cs="Tahoma"/>
          <w:sz w:val="22"/>
          <w:szCs w:val="22"/>
        </w:rPr>
        <w:t xml:space="preserve">a proizvođača </w:t>
      </w:r>
      <w:proofErr w:type="spellStart"/>
      <w:r w:rsidR="00C007D7">
        <w:rPr>
          <w:rFonts w:ascii="Tahoma" w:hAnsi="Tahoma" w:cs="Tahoma"/>
          <w:sz w:val="22"/>
          <w:szCs w:val="22"/>
        </w:rPr>
        <w:t>Elekta</w:t>
      </w:r>
      <w:proofErr w:type="spellEnd"/>
      <w:r w:rsidR="00C007D7">
        <w:rPr>
          <w:rFonts w:ascii="Tahoma" w:hAnsi="Tahoma" w:cs="Tahoma"/>
          <w:sz w:val="22"/>
          <w:szCs w:val="22"/>
        </w:rPr>
        <w:t xml:space="preserve"> </w:t>
      </w:r>
      <w:proofErr w:type="spellStart"/>
      <w:r w:rsidR="005D248C">
        <w:rPr>
          <w:rFonts w:ascii="Tahoma" w:hAnsi="Tahoma" w:cs="Tahoma"/>
          <w:sz w:val="22"/>
          <w:szCs w:val="22"/>
        </w:rPr>
        <w:t>Synergy</w:t>
      </w:r>
      <w:proofErr w:type="spellEnd"/>
      <w:r w:rsidRPr="00076768">
        <w:rPr>
          <w:rFonts w:ascii="Tahoma" w:hAnsi="Tahoma" w:cs="Tahoma"/>
          <w:sz w:val="22"/>
          <w:szCs w:val="22"/>
        </w:rPr>
        <w:t xml:space="preserve">, UZV uređaj za potrebe pedijatrijske kardiologije, UZV visokofrekventni </w:t>
      </w:r>
      <w:proofErr w:type="spellStart"/>
      <w:r w:rsidRPr="00076768">
        <w:rPr>
          <w:rFonts w:ascii="Tahoma" w:hAnsi="Tahoma" w:cs="Tahoma"/>
          <w:sz w:val="22"/>
          <w:szCs w:val="22"/>
        </w:rPr>
        <w:t>transrektalni</w:t>
      </w:r>
      <w:proofErr w:type="spellEnd"/>
      <w:r w:rsidRPr="00076768">
        <w:rPr>
          <w:rFonts w:ascii="Tahoma" w:hAnsi="Tahoma" w:cs="Tahoma"/>
          <w:sz w:val="22"/>
          <w:szCs w:val="22"/>
        </w:rPr>
        <w:t xml:space="preserve"> s opcijom programske fuzijske biopsije prostate, koronarni set. </w:t>
      </w:r>
    </w:p>
    <w:p w:rsidR="00A623F9" w:rsidRPr="00076768" w:rsidRDefault="00A623F9" w:rsidP="00A623F9">
      <w:pPr>
        <w:jc w:val="both"/>
        <w:rPr>
          <w:rFonts w:ascii="Tahoma" w:hAnsi="Tahoma" w:cs="Tahoma"/>
          <w:sz w:val="22"/>
          <w:szCs w:val="22"/>
        </w:rPr>
      </w:pPr>
    </w:p>
    <w:p w:rsidR="00A623F9" w:rsidRPr="00D7128E" w:rsidRDefault="00A623F9" w:rsidP="00C007D7">
      <w:pPr>
        <w:jc w:val="both"/>
        <w:rPr>
          <w:rFonts w:ascii="Tahoma" w:hAnsi="Tahoma" w:cs="Tahoma"/>
          <w:color w:val="1F497D"/>
          <w:sz w:val="22"/>
          <w:szCs w:val="22"/>
        </w:rPr>
      </w:pPr>
      <w:r w:rsidRPr="00076768">
        <w:rPr>
          <w:rFonts w:ascii="Tahoma" w:hAnsi="Tahoma" w:cs="Tahoma"/>
          <w:sz w:val="22"/>
          <w:szCs w:val="22"/>
        </w:rPr>
        <w:t>Najznačajnija ulaganja u uredsku opremu i namještaj odnose se na nabavu računala i računalne oprema: nabava i implementacija v</w:t>
      </w:r>
      <w:r w:rsidR="005D248C">
        <w:rPr>
          <w:rFonts w:ascii="Tahoma" w:hAnsi="Tahoma" w:cs="Tahoma"/>
          <w:sz w:val="22"/>
          <w:szCs w:val="22"/>
        </w:rPr>
        <w:t>irtualizacijske infrastrukture</w:t>
      </w:r>
      <w:r w:rsidRPr="00076768">
        <w:rPr>
          <w:rFonts w:ascii="Tahoma" w:hAnsi="Tahoma" w:cs="Tahoma"/>
          <w:sz w:val="22"/>
          <w:szCs w:val="22"/>
        </w:rPr>
        <w:t xml:space="preserve">, računala, pristupna točka bežična TIP1 i TIP2 Cisco, preklopnik pristupni TIP2 i TIP3 </w:t>
      </w:r>
      <w:proofErr w:type="spellStart"/>
      <w:r w:rsidRPr="00076768">
        <w:rPr>
          <w:rFonts w:ascii="Tahoma" w:hAnsi="Tahoma" w:cs="Tahoma"/>
          <w:sz w:val="22"/>
          <w:szCs w:val="22"/>
        </w:rPr>
        <w:t>Catalyst</w:t>
      </w:r>
      <w:proofErr w:type="spellEnd"/>
      <w:r w:rsidRPr="00076768">
        <w:rPr>
          <w:rFonts w:ascii="Tahoma" w:hAnsi="Tahoma" w:cs="Tahoma"/>
          <w:sz w:val="22"/>
          <w:szCs w:val="22"/>
        </w:rPr>
        <w:t xml:space="preserve"> te nadogradnja sustava za nadzor i kontrolu IT opreme</w:t>
      </w:r>
      <w:r w:rsidR="00076768">
        <w:rPr>
          <w:rFonts w:ascii="Tahoma" w:hAnsi="Tahoma" w:cs="Tahoma"/>
          <w:sz w:val="22"/>
          <w:szCs w:val="22"/>
        </w:rPr>
        <w:t>.</w:t>
      </w:r>
    </w:p>
    <w:p w:rsidR="008607CB" w:rsidRPr="00D7128E" w:rsidRDefault="008607CB" w:rsidP="00A623F9">
      <w:pPr>
        <w:tabs>
          <w:tab w:val="left" w:pos="709"/>
        </w:tabs>
        <w:jc w:val="both"/>
        <w:rPr>
          <w:rFonts w:ascii="Tahoma" w:hAnsi="Tahoma" w:cs="Tahoma"/>
          <w:sz w:val="22"/>
          <w:szCs w:val="22"/>
        </w:rPr>
      </w:pPr>
    </w:p>
    <w:p w:rsidR="00572FC4" w:rsidRPr="00D7128E" w:rsidRDefault="00572FC4" w:rsidP="001621B4">
      <w:pPr>
        <w:rPr>
          <w:rFonts w:ascii="Tahoma" w:hAnsi="Tahoma" w:cs="Tahoma"/>
          <w:sz w:val="22"/>
          <w:szCs w:val="22"/>
        </w:rPr>
      </w:pPr>
    </w:p>
    <w:p w:rsidR="00A623F9" w:rsidRPr="00D7128E" w:rsidRDefault="00A623F9" w:rsidP="001621B4">
      <w:pPr>
        <w:rPr>
          <w:rFonts w:ascii="Tahoma" w:hAnsi="Tahoma" w:cs="Tahoma"/>
          <w:sz w:val="22"/>
          <w:szCs w:val="22"/>
        </w:rPr>
      </w:pPr>
    </w:p>
    <w:p w:rsidR="00A623F9" w:rsidRPr="00D7128E" w:rsidRDefault="00A623F9" w:rsidP="001621B4">
      <w:pPr>
        <w:rPr>
          <w:rFonts w:ascii="Tahoma" w:hAnsi="Tahoma" w:cs="Tahoma"/>
          <w:sz w:val="22"/>
          <w:szCs w:val="22"/>
        </w:rPr>
      </w:pPr>
    </w:p>
    <w:p w:rsidR="00A623F9" w:rsidRPr="00D7128E"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D7128E" w:rsidRDefault="00D7128E" w:rsidP="001621B4">
      <w:pPr>
        <w:rPr>
          <w:rFonts w:ascii="Tahoma" w:hAnsi="Tahoma" w:cs="Tahoma"/>
          <w:sz w:val="22"/>
          <w:szCs w:val="22"/>
        </w:rPr>
      </w:pPr>
    </w:p>
    <w:p w:rsidR="00D7128E" w:rsidRDefault="00D7128E" w:rsidP="001621B4">
      <w:pPr>
        <w:rPr>
          <w:rFonts w:ascii="Tahoma" w:hAnsi="Tahoma" w:cs="Tahoma"/>
          <w:sz w:val="22"/>
          <w:szCs w:val="22"/>
        </w:rPr>
      </w:pPr>
    </w:p>
    <w:p w:rsidR="00D7128E" w:rsidRDefault="00D7128E" w:rsidP="001621B4">
      <w:pPr>
        <w:rPr>
          <w:rFonts w:ascii="Tahoma" w:hAnsi="Tahoma" w:cs="Tahoma"/>
          <w:sz w:val="22"/>
          <w:szCs w:val="22"/>
        </w:rPr>
      </w:pPr>
    </w:p>
    <w:p w:rsidR="00D7128E" w:rsidRDefault="00D7128E" w:rsidP="001621B4">
      <w:pPr>
        <w:rPr>
          <w:rFonts w:ascii="Tahoma" w:hAnsi="Tahoma" w:cs="Tahoma"/>
          <w:sz w:val="22"/>
          <w:szCs w:val="22"/>
        </w:rPr>
      </w:pPr>
    </w:p>
    <w:p w:rsidR="00D7128E" w:rsidRDefault="00D7128E" w:rsidP="001621B4">
      <w:pPr>
        <w:rPr>
          <w:rFonts w:ascii="Tahoma" w:hAnsi="Tahoma" w:cs="Tahoma"/>
          <w:sz w:val="22"/>
          <w:szCs w:val="22"/>
        </w:rPr>
      </w:pPr>
    </w:p>
    <w:p w:rsidR="00D7128E" w:rsidRDefault="00D7128E" w:rsidP="001621B4">
      <w:pPr>
        <w:rPr>
          <w:rFonts w:ascii="Tahoma" w:hAnsi="Tahoma" w:cs="Tahoma"/>
          <w:sz w:val="22"/>
          <w:szCs w:val="22"/>
        </w:rPr>
      </w:pPr>
    </w:p>
    <w:p w:rsidR="00D7128E" w:rsidRDefault="00D7128E" w:rsidP="001621B4">
      <w:pPr>
        <w:rPr>
          <w:rFonts w:ascii="Tahoma" w:hAnsi="Tahoma" w:cs="Tahoma"/>
          <w:sz w:val="22"/>
          <w:szCs w:val="22"/>
        </w:rPr>
      </w:pPr>
    </w:p>
    <w:p w:rsidR="00D7128E" w:rsidRDefault="00D7128E" w:rsidP="001621B4">
      <w:pPr>
        <w:rPr>
          <w:rFonts w:ascii="Tahoma" w:hAnsi="Tahoma" w:cs="Tahoma"/>
          <w:sz w:val="22"/>
          <w:szCs w:val="22"/>
        </w:rPr>
      </w:pPr>
    </w:p>
    <w:p w:rsidR="00D7128E" w:rsidRDefault="00D7128E"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C007D7" w:rsidRDefault="00C007D7" w:rsidP="001621B4">
      <w:pPr>
        <w:rPr>
          <w:rFonts w:ascii="Tahoma" w:hAnsi="Tahoma" w:cs="Tahoma"/>
          <w:sz w:val="22"/>
          <w:szCs w:val="22"/>
        </w:rPr>
      </w:pPr>
    </w:p>
    <w:p w:rsidR="00C007D7" w:rsidRDefault="00C007D7" w:rsidP="001621B4">
      <w:pPr>
        <w:rPr>
          <w:rFonts w:ascii="Tahoma" w:hAnsi="Tahoma" w:cs="Tahoma"/>
          <w:sz w:val="22"/>
          <w:szCs w:val="22"/>
        </w:rPr>
      </w:pPr>
    </w:p>
    <w:p w:rsidR="00C007D7" w:rsidRDefault="00C007D7" w:rsidP="001621B4">
      <w:pPr>
        <w:rPr>
          <w:rFonts w:ascii="Tahoma" w:hAnsi="Tahoma" w:cs="Tahoma"/>
          <w:sz w:val="22"/>
          <w:szCs w:val="22"/>
        </w:rPr>
      </w:pPr>
    </w:p>
    <w:p w:rsidR="00C007D7" w:rsidRDefault="00C007D7" w:rsidP="001621B4">
      <w:pPr>
        <w:rPr>
          <w:rFonts w:ascii="Tahoma" w:hAnsi="Tahoma" w:cs="Tahoma"/>
          <w:sz w:val="22"/>
          <w:szCs w:val="22"/>
        </w:rPr>
      </w:pPr>
    </w:p>
    <w:p w:rsidR="00A623F9" w:rsidRDefault="00A623F9" w:rsidP="001621B4">
      <w:pPr>
        <w:rPr>
          <w:rFonts w:ascii="Tahoma" w:hAnsi="Tahoma" w:cs="Tahoma"/>
          <w:sz w:val="22"/>
          <w:szCs w:val="22"/>
        </w:rPr>
      </w:pPr>
    </w:p>
    <w:p w:rsidR="00A623F9" w:rsidRDefault="00A623F9" w:rsidP="001621B4">
      <w:pPr>
        <w:rPr>
          <w:rFonts w:ascii="Tahoma" w:hAnsi="Tahoma" w:cs="Tahoma"/>
          <w:sz w:val="22"/>
          <w:szCs w:val="22"/>
        </w:rPr>
      </w:pPr>
    </w:p>
    <w:p w:rsidR="001621B4" w:rsidRPr="00D85168" w:rsidRDefault="001621B4" w:rsidP="001B0299">
      <w:pPr>
        <w:pStyle w:val="Heading2"/>
        <w:numPr>
          <w:ilvl w:val="0"/>
          <w:numId w:val="2"/>
        </w:numPr>
        <w:jc w:val="left"/>
        <w:rPr>
          <w:rFonts w:ascii="Tahoma" w:hAnsi="Tahoma" w:cs="Tahoma"/>
          <w:sz w:val="22"/>
          <w:szCs w:val="22"/>
        </w:rPr>
      </w:pPr>
      <w:r w:rsidRPr="00D85168">
        <w:rPr>
          <w:rFonts w:ascii="Tahoma" w:hAnsi="Tahoma" w:cs="Tahoma"/>
          <w:sz w:val="22"/>
          <w:szCs w:val="22"/>
        </w:rPr>
        <w:lastRenderedPageBreak/>
        <w:t>FINANCIJSKI REZULTAT</w:t>
      </w:r>
    </w:p>
    <w:p w:rsidR="001621B4" w:rsidRPr="00D85168" w:rsidRDefault="001621B4" w:rsidP="001621B4">
      <w:pPr>
        <w:jc w:val="both"/>
        <w:rPr>
          <w:rFonts w:ascii="Tahoma" w:hAnsi="Tahoma" w:cs="Tahoma"/>
          <w:sz w:val="22"/>
          <w:szCs w:val="22"/>
        </w:rPr>
      </w:pPr>
    </w:p>
    <w:p w:rsidR="005F4E44" w:rsidRPr="00A9347F" w:rsidRDefault="005F4E44" w:rsidP="001F4910">
      <w:pPr>
        <w:jc w:val="both"/>
        <w:rPr>
          <w:rFonts w:ascii="Tahoma" w:hAnsi="Tahoma" w:cs="Tahoma"/>
          <w:szCs w:val="22"/>
        </w:rPr>
      </w:pPr>
      <w:r w:rsidRPr="00A9347F">
        <w:rPr>
          <w:rFonts w:ascii="Tahoma" w:hAnsi="Tahoma" w:cs="Tahoma"/>
          <w:sz w:val="22"/>
          <w:szCs w:val="22"/>
        </w:rPr>
        <w:t>KBC Zagreb je prema proračunskom računovodstvu u ra</w:t>
      </w:r>
      <w:r w:rsidR="009246C0" w:rsidRPr="00A9347F">
        <w:rPr>
          <w:rFonts w:ascii="Tahoma" w:hAnsi="Tahoma" w:cs="Tahoma"/>
          <w:sz w:val="22"/>
          <w:szCs w:val="22"/>
        </w:rPr>
        <w:t>zdoblju siječanj - prosinac 2023</w:t>
      </w:r>
      <w:r w:rsidRPr="00A9347F">
        <w:rPr>
          <w:rFonts w:ascii="Tahoma" w:hAnsi="Tahoma" w:cs="Tahoma"/>
          <w:sz w:val="22"/>
          <w:szCs w:val="22"/>
        </w:rPr>
        <w:t xml:space="preserve">. godine ostvario višak prihoda nad rashodima u iznosu od </w:t>
      </w:r>
      <w:r w:rsidR="00394C18" w:rsidRPr="00A9347F">
        <w:rPr>
          <w:rFonts w:ascii="Tahoma" w:hAnsi="Tahoma" w:cs="Tahoma"/>
          <w:sz w:val="22"/>
          <w:szCs w:val="22"/>
        </w:rPr>
        <w:t xml:space="preserve">8.402.470 EUR </w:t>
      </w:r>
      <w:r w:rsidR="000E235F" w:rsidRPr="00A9347F">
        <w:rPr>
          <w:rFonts w:ascii="Tahoma" w:hAnsi="Tahoma" w:cs="Tahoma"/>
          <w:sz w:val="22"/>
          <w:szCs w:val="22"/>
        </w:rPr>
        <w:t>uvjetovan sljedećim vanjskim čimbenicima:</w:t>
      </w:r>
      <w:r w:rsidR="000E235F" w:rsidRPr="00A9347F">
        <w:rPr>
          <w:rFonts w:ascii="Tahoma" w:hAnsi="Tahoma" w:cs="Tahoma"/>
          <w:szCs w:val="22"/>
        </w:rPr>
        <w:t xml:space="preserve"> </w:t>
      </w:r>
      <w:r w:rsidR="0004326F" w:rsidRPr="00A9347F">
        <w:rPr>
          <w:rFonts w:ascii="Tahoma" w:hAnsi="Tahoma" w:cs="Tahoma"/>
          <w:szCs w:val="22"/>
        </w:rPr>
        <w:t xml:space="preserve"> </w:t>
      </w:r>
    </w:p>
    <w:p w:rsidR="006D6477" w:rsidRPr="00A9347F" w:rsidRDefault="006D6477" w:rsidP="006D6477">
      <w:pPr>
        <w:pStyle w:val="BodyText2"/>
        <w:ind w:left="284"/>
        <w:rPr>
          <w:rFonts w:ascii="Tahoma" w:hAnsi="Tahoma" w:cs="Tahoma"/>
          <w:szCs w:val="22"/>
        </w:rPr>
      </w:pPr>
    </w:p>
    <w:p w:rsidR="000E235F" w:rsidRPr="00A9347F" w:rsidRDefault="000E235F" w:rsidP="000E235F">
      <w:pPr>
        <w:jc w:val="both"/>
        <w:rPr>
          <w:rFonts w:ascii="Tahoma" w:hAnsi="Tahoma" w:cs="Tahoma"/>
          <w:sz w:val="22"/>
          <w:szCs w:val="22"/>
        </w:rPr>
      </w:pPr>
      <w:r w:rsidRPr="00A9347F">
        <w:rPr>
          <w:rFonts w:ascii="Tahoma" w:hAnsi="Tahoma" w:cs="Tahoma"/>
          <w:sz w:val="22"/>
          <w:szCs w:val="22"/>
        </w:rPr>
        <w:t xml:space="preserve">- Odluke Vlade Republike Hrvatske o isplati sredstava bolničkim zdravstvenim ustanovama kojima je osnivač Republika Hrvatska za podmirenje dijela dospjelih obveza prema dobavljačima lijekova, potrošnog i </w:t>
      </w:r>
      <w:proofErr w:type="spellStart"/>
      <w:r w:rsidRPr="00A9347F">
        <w:rPr>
          <w:rFonts w:ascii="Tahoma" w:hAnsi="Tahoma" w:cs="Tahoma"/>
          <w:sz w:val="22"/>
          <w:szCs w:val="22"/>
        </w:rPr>
        <w:t>ugradbenog</w:t>
      </w:r>
      <w:proofErr w:type="spellEnd"/>
      <w:r w:rsidRPr="00A9347F">
        <w:rPr>
          <w:rFonts w:ascii="Tahoma" w:hAnsi="Tahoma" w:cs="Tahoma"/>
          <w:sz w:val="22"/>
          <w:szCs w:val="22"/>
        </w:rPr>
        <w:t xml:space="preserve"> medicinskog materijala - </w:t>
      </w:r>
      <w:r w:rsidR="00A9347F" w:rsidRPr="00A9347F">
        <w:rPr>
          <w:rFonts w:ascii="Tahoma" w:hAnsi="Tahoma" w:cs="Tahoma"/>
          <w:sz w:val="22"/>
          <w:szCs w:val="22"/>
        </w:rPr>
        <w:t>33</w:t>
      </w:r>
      <w:r w:rsidR="00D12D81" w:rsidRPr="00A9347F">
        <w:rPr>
          <w:rFonts w:ascii="Tahoma" w:hAnsi="Tahoma" w:cs="Tahoma"/>
          <w:sz w:val="22"/>
          <w:szCs w:val="22"/>
        </w:rPr>
        <w:t>.</w:t>
      </w:r>
      <w:r w:rsidR="00A9347F" w:rsidRPr="00A9347F">
        <w:rPr>
          <w:rFonts w:ascii="Tahoma" w:hAnsi="Tahoma" w:cs="Tahoma"/>
          <w:sz w:val="22"/>
          <w:szCs w:val="22"/>
        </w:rPr>
        <w:t>043</w:t>
      </w:r>
      <w:r w:rsidR="00D12D81" w:rsidRPr="00A9347F">
        <w:rPr>
          <w:rFonts w:ascii="Tahoma" w:hAnsi="Tahoma" w:cs="Tahoma"/>
          <w:sz w:val="22"/>
          <w:szCs w:val="22"/>
        </w:rPr>
        <w:t>.</w:t>
      </w:r>
      <w:r w:rsidR="00A9347F" w:rsidRPr="00A9347F">
        <w:rPr>
          <w:rFonts w:ascii="Tahoma" w:hAnsi="Tahoma" w:cs="Tahoma"/>
          <w:sz w:val="22"/>
          <w:szCs w:val="22"/>
        </w:rPr>
        <w:t>505</w:t>
      </w:r>
      <w:r w:rsidR="00D12D81" w:rsidRPr="00A9347F">
        <w:rPr>
          <w:rFonts w:ascii="Tahoma" w:hAnsi="Tahoma" w:cs="Tahoma"/>
          <w:sz w:val="22"/>
          <w:szCs w:val="22"/>
        </w:rPr>
        <w:t xml:space="preserve"> EUR</w:t>
      </w:r>
      <w:r w:rsidRPr="00A9347F">
        <w:rPr>
          <w:rFonts w:ascii="Tahoma" w:hAnsi="Tahoma" w:cs="Tahoma"/>
          <w:sz w:val="22"/>
          <w:szCs w:val="22"/>
        </w:rPr>
        <w:t>,</w:t>
      </w:r>
    </w:p>
    <w:p w:rsidR="000E235F" w:rsidRPr="007A6A85" w:rsidRDefault="000E235F" w:rsidP="000E235F">
      <w:pPr>
        <w:jc w:val="both"/>
        <w:rPr>
          <w:rFonts w:ascii="Tahoma" w:hAnsi="Tahoma" w:cs="Tahoma"/>
          <w:color w:val="0D0D0D" w:themeColor="text1" w:themeTint="F2"/>
          <w:sz w:val="22"/>
          <w:szCs w:val="22"/>
        </w:rPr>
      </w:pPr>
      <w:r w:rsidRPr="00A9347F">
        <w:rPr>
          <w:rFonts w:ascii="Tahoma" w:hAnsi="Tahoma" w:cs="Tahoma"/>
          <w:szCs w:val="22"/>
        </w:rPr>
        <w:t xml:space="preserve">- </w:t>
      </w:r>
      <w:r w:rsidRPr="00A9347F">
        <w:rPr>
          <w:rFonts w:ascii="Tahoma" w:hAnsi="Tahoma" w:cs="Tahoma"/>
          <w:sz w:val="22"/>
          <w:szCs w:val="22"/>
        </w:rPr>
        <w:t>Odluka Vlade Republike Hrvatske o isplati namjenske pomoći</w:t>
      </w:r>
      <w:r w:rsidR="00870A4B">
        <w:rPr>
          <w:rFonts w:ascii="Tahoma" w:hAnsi="Tahoma" w:cs="Tahoma"/>
          <w:sz w:val="22"/>
          <w:szCs w:val="22"/>
        </w:rPr>
        <w:t xml:space="preserve"> </w:t>
      </w:r>
      <w:r w:rsidR="00870A4B" w:rsidRPr="000514FC">
        <w:rPr>
          <w:rFonts w:ascii="Tahoma" w:hAnsi="Tahoma" w:cs="Tahoma"/>
          <w:sz w:val="22"/>
          <w:szCs w:val="22"/>
        </w:rPr>
        <w:t>od strane HZZO-a</w:t>
      </w:r>
      <w:r w:rsidRPr="000514FC">
        <w:rPr>
          <w:rFonts w:ascii="Tahoma" w:hAnsi="Tahoma" w:cs="Tahoma"/>
          <w:sz w:val="22"/>
          <w:szCs w:val="22"/>
        </w:rPr>
        <w:t xml:space="preserve"> </w:t>
      </w:r>
      <w:r w:rsidRPr="00A9347F">
        <w:rPr>
          <w:rFonts w:ascii="Tahoma" w:hAnsi="Tahoma" w:cs="Tahoma"/>
          <w:sz w:val="22"/>
          <w:szCs w:val="22"/>
        </w:rPr>
        <w:t>za podmirenje dospjelih</w:t>
      </w:r>
      <w:r w:rsidR="00241EA4">
        <w:rPr>
          <w:rFonts w:ascii="Tahoma" w:hAnsi="Tahoma" w:cs="Tahoma"/>
          <w:sz w:val="22"/>
          <w:szCs w:val="22"/>
        </w:rPr>
        <w:t xml:space="preserve"> obveza bolničkih </w:t>
      </w:r>
      <w:r w:rsidR="00241EA4" w:rsidRPr="00AE336F">
        <w:rPr>
          <w:rFonts w:ascii="Tahoma" w:hAnsi="Tahoma" w:cs="Tahoma"/>
          <w:sz w:val="22"/>
          <w:szCs w:val="22"/>
        </w:rPr>
        <w:t>zdravstvenih u</w:t>
      </w:r>
      <w:r w:rsidRPr="00AE336F">
        <w:rPr>
          <w:rFonts w:ascii="Tahoma" w:hAnsi="Tahoma" w:cs="Tahoma"/>
          <w:sz w:val="22"/>
          <w:szCs w:val="22"/>
        </w:rPr>
        <w:t>stanova</w:t>
      </w:r>
      <w:r w:rsidRPr="00A9347F">
        <w:rPr>
          <w:rFonts w:ascii="Tahoma" w:hAnsi="Tahoma" w:cs="Tahoma"/>
          <w:sz w:val="22"/>
          <w:szCs w:val="22"/>
        </w:rPr>
        <w:t xml:space="preserve"> kojima je osnivač Republika Hrvatska i kojima su osnivači županije prema dobavljačima lijekova, potrošnog i </w:t>
      </w:r>
      <w:proofErr w:type="spellStart"/>
      <w:r w:rsidRPr="00A9347F">
        <w:rPr>
          <w:rFonts w:ascii="Tahoma" w:hAnsi="Tahoma" w:cs="Tahoma"/>
          <w:sz w:val="22"/>
          <w:szCs w:val="22"/>
        </w:rPr>
        <w:t>ugradbenog</w:t>
      </w:r>
      <w:proofErr w:type="spellEnd"/>
      <w:r w:rsidRPr="00A9347F">
        <w:rPr>
          <w:rFonts w:ascii="Tahoma" w:hAnsi="Tahoma" w:cs="Tahoma"/>
          <w:sz w:val="22"/>
          <w:szCs w:val="22"/>
        </w:rPr>
        <w:t xml:space="preserve"> medicinskog materijala - </w:t>
      </w:r>
      <w:r w:rsidR="00D12D81" w:rsidRPr="007A6A85">
        <w:rPr>
          <w:rFonts w:ascii="Tahoma" w:hAnsi="Tahoma" w:cs="Tahoma"/>
          <w:color w:val="0D0D0D" w:themeColor="text1" w:themeTint="F2"/>
          <w:sz w:val="22"/>
          <w:szCs w:val="22"/>
        </w:rPr>
        <w:t xml:space="preserve">30.646.585 </w:t>
      </w:r>
      <w:r w:rsidRPr="007A6A85">
        <w:rPr>
          <w:rFonts w:ascii="Tahoma" w:hAnsi="Tahoma" w:cs="Tahoma"/>
          <w:color w:val="0D0D0D" w:themeColor="text1" w:themeTint="F2"/>
          <w:sz w:val="22"/>
          <w:szCs w:val="22"/>
        </w:rPr>
        <w:t>EUR</w:t>
      </w:r>
    </w:p>
    <w:p w:rsidR="00870A4B" w:rsidRPr="007A6A85" w:rsidRDefault="00870A4B" w:rsidP="000E235F">
      <w:pPr>
        <w:jc w:val="both"/>
        <w:rPr>
          <w:rFonts w:ascii="Tahoma" w:hAnsi="Tahoma" w:cs="Tahoma"/>
          <w:color w:val="0D0D0D" w:themeColor="text1" w:themeTint="F2"/>
          <w:sz w:val="22"/>
          <w:szCs w:val="22"/>
        </w:rPr>
      </w:pPr>
      <w:r w:rsidRPr="007A6A85">
        <w:rPr>
          <w:rFonts w:ascii="Tahoma" w:hAnsi="Tahoma" w:cs="Tahoma"/>
          <w:color w:val="0D0D0D" w:themeColor="text1" w:themeTint="F2"/>
          <w:sz w:val="22"/>
          <w:szCs w:val="22"/>
        </w:rPr>
        <w:t>-</w:t>
      </w:r>
      <w:r w:rsidR="000514FC" w:rsidRPr="007A6A85">
        <w:rPr>
          <w:rFonts w:ascii="Tahoma" w:hAnsi="Tahoma" w:cs="Tahoma"/>
          <w:color w:val="0D0D0D" w:themeColor="text1" w:themeTint="F2"/>
          <w:sz w:val="22"/>
          <w:szCs w:val="22"/>
        </w:rPr>
        <w:t xml:space="preserve"> </w:t>
      </w:r>
      <w:r w:rsidR="00C719C7" w:rsidRPr="007A6A85">
        <w:rPr>
          <w:rFonts w:ascii="Tahoma" w:hAnsi="Tahoma" w:cs="Tahoma"/>
          <w:color w:val="0D0D0D" w:themeColor="text1" w:themeTint="F2"/>
          <w:sz w:val="22"/>
          <w:szCs w:val="22"/>
        </w:rPr>
        <w:t>Višak ispostavljenih i</w:t>
      </w:r>
      <w:r w:rsidR="00776B6B" w:rsidRPr="007A6A85">
        <w:rPr>
          <w:rFonts w:ascii="Tahoma" w:hAnsi="Tahoma" w:cs="Tahoma"/>
          <w:color w:val="0D0D0D" w:themeColor="text1" w:themeTint="F2"/>
          <w:sz w:val="22"/>
          <w:szCs w:val="22"/>
        </w:rPr>
        <w:t xml:space="preserve"> priznatih računa preko ugovorenog</w:t>
      </w:r>
      <w:r w:rsidR="00C719C7" w:rsidRPr="007A6A85">
        <w:rPr>
          <w:rFonts w:ascii="Tahoma" w:hAnsi="Tahoma" w:cs="Tahoma"/>
          <w:color w:val="0D0D0D" w:themeColor="text1" w:themeTint="F2"/>
          <w:sz w:val="22"/>
          <w:szCs w:val="22"/>
        </w:rPr>
        <w:t xml:space="preserve"> </w:t>
      </w:r>
      <w:r w:rsidR="00776B6B" w:rsidRPr="007A6A85">
        <w:rPr>
          <w:rFonts w:ascii="Tahoma" w:hAnsi="Tahoma" w:cs="Tahoma"/>
          <w:color w:val="0D0D0D" w:themeColor="text1" w:themeTint="F2"/>
          <w:sz w:val="22"/>
          <w:szCs w:val="22"/>
        </w:rPr>
        <w:t>osnovnog iznosa sredstava zdravstvene zaštite („limit“)</w:t>
      </w:r>
      <w:r w:rsidR="00C719C7" w:rsidRPr="007A6A85">
        <w:rPr>
          <w:rFonts w:ascii="Tahoma" w:hAnsi="Tahoma" w:cs="Tahoma"/>
          <w:color w:val="0D0D0D" w:themeColor="text1" w:themeTint="F2"/>
          <w:sz w:val="22"/>
          <w:szCs w:val="22"/>
        </w:rPr>
        <w:t xml:space="preserve"> te za </w:t>
      </w:r>
      <w:r w:rsidR="00776B6B" w:rsidRPr="007A6A85">
        <w:rPr>
          <w:rFonts w:ascii="Tahoma" w:hAnsi="Tahoma" w:cs="Tahoma"/>
          <w:color w:val="0D0D0D" w:themeColor="text1" w:themeTint="F2"/>
          <w:sz w:val="22"/>
          <w:szCs w:val="22"/>
        </w:rPr>
        <w:t>aktivnosti koje se ne uračunavaju u maksimalno utvrđeni iznos osnovnih novčanih sredstava</w:t>
      </w:r>
      <w:r w:rsidR="007261B8">
        <w:rPr>
          <w:rFonts w:ascii="Tahoma" w:hAnsi="Tahoma" w:cs="Tahoma"/>
          <w:color w:val="0D0D0D" w:themeColor="text1" w:themeTint="F2"/>
          <w:sz w:val="22"/>
          <w:szCs w:val="22"/>
        </w:rPr>
        <w:t xml:space="preserve"> (</w:t>
      </w:r>
      <w:r w:rsidR="00776B6B" w:rsidRPr="007A6A85">
        <w:rPr>
          <w:rFonts w:ascii="Tahoma" w:hAnsi="Tahoma" w:cs="Tahoma"/>
          <w:color w:val="0D0D0D" w:themeColor="text1" w:themeTint="F2"/>
          <w:sz w:val="22"/>
          <w:szCs w:val="22"/>
        </w:rPr>
        <w:t xml:space="preserve">aktivnosti </w:t>
      </w:r>
      <w:r w:rsidR="007261B8">
        <w:rPr>
          <w:rFonts w:ascii="Tahoma" w:hAnsi="Tahoma" w:cs="Tahoma"/>
          <w:color w:val="0D0D0D" w:themeColor="text1" w:themeTint="F2"/>
          <w:sz w:val="22"/>
          <w:szCs w:val="22"/>
        </w:rPr>
        <w:t>„</w:t>
      </w:r>
      <w:r w:rsidR="00776B6B" w:rsidRPr="007A6A85">
        <w:rPr>
          <w:rFonts w:ascii="Tahoma" w:hAnsi="Tahoma" w:cs="Tahoma"/>
          <w:color w:val="0D0D0D" w:themeColor="text1" w:themeTint="F2"/>
          <w:sz w:val="22"/>
          <w:szCs w:val="22"/>
        </w:rPr>
        <w:t>izvan limita“)</w:t>
      </w:r>
      <w:r w:rsidR="00C719C7" w:rsidRPr="007A6A85">
        <w:rPr>
          <w:rFonts w:ascii="Tahoma" w:hAnsi="Tahoma" w:cs="Tahoma"/>
          <w:color w:val="0D0D0D" w:themeColor="text1" w:themeTint="F2"/>
          <w:sz w:val="22"/>
          <w:szCs w:val="22"/>
        </w:rPr>
        <w:t xml:space="preserve"> – 15.054.993 EUR</w:t>
      </w:r>
    </w:p>
    <w:p w:rsidR="00C719C7" w:rsidRPr="007A6A85" w:rsidRDefault="00C719C7" w:rsidP="000E235F">
      <w:pPr>
        <w:jc w:val="both"/>
        <w:rPr>
          <w:rFonts w:ascii="Tahoma" w:hAnsi="Tahoma" w:cs="Tahoma"/>
          <w:color w:val="0D0D0D" w:themeColor="text1" w:themeTint="F2"/>
          <w:sz w:val="22"/>
          <w:szCs w:val="22"/>
        </w:rPr>
      </w:pPr>
      <w:r w:rsidRPr="007A6A85">
        <w:rPr>
          <w:rFonts w:ascii="Tahoma" w:hAnsi="Tahoma" w:cs="Tahoma"/>
          <w:color w:val="0D0D0D" w:themeColor="text1" w:themeTint="F2"/>
          <w:sz w:val="22"/>
          <w:szCs w:val="22"/>
        </w:rPr>
        <w:t>-  Odlu</w:t>
      </w:r>
      <w:r w:rsidR="007A6A85">
        <w:rPr>
          <w:rFonts w:ascii="Tahoma" w:hAnsi="Tahoma" w:cs="Tahoma"/>
          <w:color w:val="0D0D0D" w:themeColor="text1" w:themeTint="F2"/>
          <w:sz w:val="22"/>
          <w:szCs w:val="22"/>
        </w:rPr>
        <w:t>ka U</w:t>
      </w:r>
      <w:r w:rsidR="00776B6B" w:rsidRPr="007A6A85">
        <w:rPr>
          <w:rFonts w:ascii="Tahoma" w:hAnsi="Tahoma" w:cs="Tahoma"/>
          <w:color w:val="0D0D0D" w:themeColor="text1" w:themeTint="F2"/>
          <w:sz w:val="22"/>
          <w:szCs w:val="22"/>
        </w:rPr>
        <w:t>pravnog vijeća HZZO-a o utvrđivanju dodatnih sredstava zdravstvenim ustanovama kao razlika sredstava između ugovorenog iznosa sredstava i ispostavljenih računa – 4.657.953 EUR</w:t>
      </w:r>
    </w:p>
    <w:p w:rsidR="00776B6B" w:rsidRDefault="00776B6B" w:rsidP="000E235F">
      <w:pPr>
        <w:jc w:val="both"/>
        <w:rPr>
          <w:rFonts w:ascii="Tahoma" w:hAnsi="Tahoma" w:cs="Tahoma"/>
          <w:color w:val="FF0000"/>
          <w:sz w:val="22"/>
          <w:szCs w:val="22"/>
        </w:rPr>
      </w:pPr>
    </w:p>
    <w:p w:rsidR="00776B6B" w:rsidRPr="00870A4B" w:rsidRDefault="00776B6B" w:rsidP="000E235F">
      <w:pPr>
        <w:jc w:val="both"/>
        <w:rPr>
          <w:rFonts w:ascii="Tahoma" w:hAnsi="Tahoma" w:cs="Tahoma"/>
          <w:color w:val="FF0000"/>
          <w:sz w:val="22"/>
          <w:szCs w:val="22"/>
        </w:rPr>
      </w:pPr>
    </w:p>
    <w:p w:rsidR="00394C18" w:rsidRPr="00A9347F" w:rsidRDefault="00394C18" w:rsidP="00394C18">
      <w:pPr>
        <w:jc w:val="both"/>
        <w:rPr>
          <w:rFonts w:ascii="Tahoma" w:hAnsi="Tahoma" w:cs="Tahoma"/>
          <w:sz w:val="22"/>
          <w:szCs w:val="22"/>
        </w:rPr>
      </w:pPr>
      <w:r w:rsidRPr="00A9347F">
        <w:rPr>
          <w:rFonts w:ascii="Tahoma" w:hAnsi="Tahoma" w:cs="Tahoma"/>
          <w:sz w:val="22"/>
          <w:szCs w:val="22"/>
        </w:rPr>
        <w:t>Vanjski čimbenici koji negativno utječu na financijski rezultat su:</w:t>
      </w:r>
      <w:r w:rsidRPr="00A9347F">
        <w:rPr>
          <w:rFonts w:ascii="Tahoma" w:hAnsi="Tahoma" w:cs="Tahoma"/>
          <w:szCs w:val="22"/>
        </w:rPr>
        <w:t xml:space="preserve"> </w:t>
      </w:r>
    </w:p>
    <w:p w:rsidR="00394C18" w:rsidRPr="00A9347F" w:rsidRDefault="00394C18" w:rsidP="00394C18">
      <w:pPr>
        <w:jc w:val="both"/>
        <w:rPr>
          <w:rFonts w:ascii="Tahoma" w:hAnsi="Tahoma" w:cs="Tahoma"/>
          <w:szCs w:val="22"/>
        </w:rPr>
      </w:pPr>
      <w:r w:rsidRPr="00A9347F">
        <w:rPr>
          <w:rFonts w:ascii="Tahoma" w:hAnsi="Tahoma" w:cs="Tahoma"/>
          <w:szCs w:val="22"/>
        </w:rPr>
        <w:t xml:space="preserve"> </w:t>
      </w:r>
    </w:p>
    <w:p w:rsidR="00394C18" w:rsidRPr="00A9347F" w:rsidRDefault="00394C18" w:rsidP="0080179E">
      <w:pPr>
        <w:pStyle w:val="BodyText2"/>
        <w:ind w:left="284" w:hanging="284"/>
        <w:rPr>
          <w:rFonts w:ascii="Tahoma" w:hAnsi="Tahoma" w:cs="Tahoma"/>
          <w:szCs w:val="22"/>
        </w:rPr>
      </w:pPr>
      <w:r w:rsidRPr="00A9347F">
        <w:rPr>
          <w:rFonts w:ascii="Tahoma" w:hAnsi="Tahoma" w:cs="Tahoma"/>
          <w:szCs w:val="22"/>
        </w:rPr>
        <w:t>-</w:t>
      </w:r>
      <w:r w:rsidRPr="00A9347F">
        <w:rPr>
          <w:rFonts w:ascii="Tahoma" w:hAnsi="Tahoma" w:cs="Tahoma"/>
          <w:szCs w:val="22"/>
        </w:rPr>
        <w:tab/>
        <w:t>nedovoljan ugovoreni maksimalni iznos sredstava - limit za provođenje bolničke i specijalističko-konzilijarne zdravstvene zaštite iz obveznog zdravstvenog osiguranja,</w:t>
      </w:r>
    </w:p>
    <w:p w:rsidR="00394C18" w:rsidRPr="00A9347F" w:rsidRDefault="00394C18" w:rsidP="0080179E">
      <w:pPr>
        <w:pStyle w:val="BodyText2"/>
        <w:ind w:left="284" w:hanging="284"/>
        <w:rPr>
          <w:rFonts w:ascii="Tahoma" w:hAnsi="Tahoma" w:cs="Tahoma"/>
          <w:szCs w:val="22"/>
        </w:rPr>
      </w:pPr>
      <w:r w:rsidRPr="00A9347F">
        <w:rPr>
          <w:rFonts w:ascii="Tahoma" w:hAnsi="Tahoma" w:cs="Tahoma"/>
          <w:szCs w:val="22"/>
        </w:rPr>
        <w:t>-</w:t>
      </w:r>
      <w:r w:rsidRPr="00A9347F">
        <w:rPr>
          <w:rFonts w:ascii="Tahoma" w:hAnsi="Tahoma" w:cs="Tahoma"/>
          <w:szCs w:val="22"/>
        </w:rPr>
        <w:tab/>
        <w:t>ugovoreni rok plaćanja s HZZO-om od 60 dana za aktivnosti izvan „limita“,</w:t>
      </w:r>
    </w:p>
    <w:p w:rsidR="00394C18" w:rsidRPr="00A9347F" w:rsidRDefault="00394C18" w:rsidP="0080179E">
      <w:pPr>
        <w:pStyle w:val="BodyText2"/>
        <w:tabs>
          <w:tab w:val="left" w:pos="284"/>
        </w:tabs>
        <w:rPr>
          <w:rFonts w:ascii="Tahoma" w:hAnsi="Tahoma" w:cs="Tahoma"/>
          <w:szCs w:val="22"/>
        </w:rPr>
      </w:pPr>
      <w:r w:rsidRPr="00A9347F">
        <w:rPr>
          <w:rFonts w:ascii="Tahoma" w:hAnsi="Tahoma" w:cs="Tahoma"/>
          <w:szCs w:val="22"/>
        </w:rPr>
        <w:t>-</w:t>
      </w:r>
      <w:r w:rsidRPr="00A9347F">
        <w:rPr>
          <w:rFonts w:ascii="Tahoma" w:hAnsi="Tahoma" w:cs="Tahoma"/>
          <w:szCs w:val="22"/>
        </w:rPr>
        <w:tab/>
        <w:t>izvori radnog prava koji uređuju plaće zaposlenih u zdravstvu regulirani su općim</w:t>
      </w:r>
    </w:p>
    <w:p w:rsidR="00394C18" w:rsidRPr="00A9347F" w:rsidRDefault="00394C18" w:rsidP="0080179E">
      <w:pPr>
        <w:pStyle w:val="BodyText2"/>
        <w:tabs>
          <w:tab w:val="left" w:pos="284"/>
        </w:tabs>
        <w:rPr>
          <w:rFonts w:ascii="Tahoma" w:hAnsi="Tahoma" w:cs="Tahoma"/>
          <w:szCs w:val="22"/>
        </w:rPr>
      </w:pPr>
      <w:r w:rsidRPr="00A9347F">
        <w:rPr>
          <w:rFonts w:ascii="Tahoma" w:hAnsi="Tahoma" w:cs="Tahoma"/>
          <w:szCs w:val="22"/>
        </w:rPr>
        <w:tab/>
        <w:t>propisima o radu i u skladu s njima zaključenim kolektivnim ugovorima, koje sklapaju Vlada RH</w:t>
      </w:r>
    </w:p>
    <w:p w:rsidR="00394C18" w:rsidRPr="00A9347F" w:rsidRDefault="00394C18" w:rsidP="0080179E">
      <w:pPr>
        <w:pStyle w:val="BodyText2"/>
        <w:tabs>
          <w:tab w:val="left" w:pos="284"/>
        </w:tabs>
        <w:rPr>
          <w:rFonts w:ascii="Tahoma" w:hAnsi="Tahoma" w:cs="Tahoma"/>
          <w:szCs w:val="22"/>
        </w:rPr>
      </w:pPr>
      <w:r w:rsidRPr="00A9347F">
        <w:rPr>
          <w:rFonts w:ascii="Tahoma" w:hAnsi="Tahoma" w:cs="Tahoma"/>
          <w:szCs w:val="22"/>
        </w:rPr>
        <w:tab/>
        <w:t>i sindikati,</w:t>
      </w:r>
    </w:p>
    <w:p w:rsidR="00394C18" w:rsidRPr="00A9347F" w:rsidRDefault="00394C18" w:rsidP="0080179E">
      <w:pPr>
        <w:pStyle w:val="BodyText2"/>
        <w:ind w:left="284" w:hanging="284"/>
        <w:rPr>
          <w:rFonts w:ascii="Tahoma" w:hAnsi="Tahoma" w:cs="Tahoma"/>
          <w:color w:val="FF0000"/>
          <w:szCs w:val="22"/>
        </w:rPr>
      </w:pPr>
      <w:r w:rsidRPr="00A9347F">
        <w:rPr>
          <w:rFonts w:ascii="Tahoma" w:hAnsi="Tahoma" w:cs="Tahoma"/>
          <w:szCs w:val="22"/>
        </w:rPr>
        <w:t>-</w:t>
      </w:r>
      <w:r w:rsidRPr="00A9347F">
        <w:rPr>
          <w:rFonts w:ascii="Tahoma" w:hAnsi="Tahoma" w:cs="Tahoma"/>
          <w:szCs w:val="22"/>
        </w:rPr>
        <w:tab/>
        <w:t>potrošnja lijekova koji nisu uvršteni u važeće liste lijekova HZZO-a na teret „limita“ KBC-a Zagreb (9.830.575 EUR u razdoblju siječanj – prosinac 2023.)</w:t>
      </w:r>
      <w:r w:rsidR="001C1A52" w:rsidRPr="00A9347F">
        <w:rPr>
          <w:rFonts w:ascii="Tahoma" w:hAnsi="Tahoma" w:cs="Tahoma"/>
          <w:szCs w:val="22"/>
        </w:rPr>
        <w:t>,</w:t>
      </w:r>
    </w:p>
    <w:p w:rsidR="00394C18" w:rsidRPr="00A9347F" w:rsidRDefault="00394C18" w:rsidP="0080179E">
      <w:pPr>
        <w:tabs>
          <w:tab w:val="left" w:pos="284"/>
        </w:tabs>
        <w:jc w:val="both"/>
        <w:rPr>
          <w:rFonts w:ascii="Tahoma" w:hAnsi="Tahoma" w:cs="Tahoma"/>
          <w:sz w:val="22"/>
          <w:szCs w:val="22"/>
        </w:rPr>
      </w:pPr>
      <w:r w:rsidRPr="00A9347F">
        <w:rPr>
          <w:rFonts w:ascii="Tahoma" w:hAnsi="Tahoma" w:cs="Tahoma"/>
          <w:sz w:val="22"/>
          <w:szCs w:val="22"/>
        </w:rPr>
        <w:t>-</w:t>
      </w:r>
      <w:r w:rsidRPr="00A9347F">
        <w:rPr>
          <w:rFonts w:ascii="Tahoma" w:hAnsi="Tahoma" w:cs="Tahoma"/>
          <w:sz w:val="22"/>
          <w:szCs w:val="22"/>
        </w:rPr>
        <w:tab/>
        <w:t xml:space="preserve">nema ograničenja liječenja pacijenata prema teritorijalnom ustroju bez obzira na </w:t>
      </w:r>
    </w:p>
    <w:p w:rsidR="00394C18" w:rsidRPr="00A9347F" w:rsidRDefault="00394C18" w:rsidP="0080179E">
      <w:pPr>
        <w:tabs>
          <w:tab w:val="left" w:pos="284"/>
        </w:tabs>
        <w:ind w:left="284"/>
        <w:jc w:val="both"/>
        <w:rPr>
          <w:rFonts w:ascii="Tahoma" w:hAnsi="Tahoma" w:cs="Tahoma"/>
          <w:sz w:val="22"/>
          <w:szCs w:val="22"/>
        </w:rPr>
      </w:pPr>
      <w:r w:rsidRPr="00A9347F">
        <w:rPr>
          <w:rFonts w:ascii="Tahoma" w:hAnsi="Tahoma" w:cs="Tahoma"/>
          <w:sz w:val="22"/>
          <w:szCs w:val="22"/>
        </w:rPr>
        <w:t xml:space="preserve">mjesto stanovanja i dalje mnoge bolnice „prebacuju“ teret troškova skupe dijagnostike i skupog liječenja na KBC Zagreb bez obzira na raspoloživost odgovarajućih vlastitih stručnjaka i status Referentnih centara Ministarstva zdravstva te postojanja </w:t>
      </w:r>
      <w:proofErr w:type="spellStart"/>
      <w:r w:rsidRPr="00A9347F">
        <w:rPr>
          <w:rFonts w:ascii="Tahoma" w:hAnsi="Tahoma" w:cs="Tahoma"/>
          <w:sz w:val="22"/>
          <w:szCs w:val="22"/>
        </w:rPr>
        <w:t>visokodiferentne</w:t>
      </w:r>
      <w:proofErr w:type="spellEnd"/>
      <w:r w:rsidRPr="00A9347F">
        <w:rPr>
          <w:rFonts w:ascii="Tahoma" w:hAnsi="Tahoma" w:cs="Tahoma"/>
          <w:sz w:val="22"/>
          <w:szCs w:val="22"/>
        </w:rPr>
        <w:t xml:space="preserve"> i skupe opreme (</w:t>
      </w:r>
      <w:r w:rsidR="00E86B49" w:rsidRPr="00A9347F">
        <w:rPr>
          <w:rFonts w:ascii="Tahoma" w:hAnsi="Tahoma" w:cs="Tahoma"/>
          <w:sz w:val="22"/>
          <w:szCs w:val="22"/>
        </w:rPr>
        <w:t>16.377</w:t>
      </w:r>
      <w:r w:rsidRPr="00A9347F">
        <w:rPr>
          <w:rFonts w:ascii="Tahoma" w:hAnsi="Tahoma" w:cs="Tahoma"/>
          <w:sz w:val="22"/>
          <w:szCs w:val="22"/>
        </w:rPr>
        <w:t>.</w:t>
      </w:r>
      <w:r w:rsidR="00E86B49" w:rsidRPr="00A9347F">
        <w:rPr>
          <w:rFonts w:ascii="Tahoma" w:hAnsi="Tahoma" w:cs="Tahoma"/>
          <w:sz w:val="22"/>
          <w:szCs w:val="22"/>
        </w:rPr>
        <w:t>185</w:t>
      </w:r>
      <w:r w:rsidRPr="00A9347F">
        <w:rPr>
          <w:rFonts w:ascii="Tahoma" w:hAnsi="Tahoma" w:cs="Tahoma"/>
          <w:sz w:val="22"/>
          <w:szCs w:val="22"/>
        </w:rPr>
        <w:t xml:space="preserve"> EUR u </w:t>
      </w:r>
      <w:r w:rsidR="00E86B49" w:rsidRPr="00A9347F">
        <w:rPr>
          <w:rFonts w:ascii="Tahoma" w:hAnsi="Tahoma" w:cs="Tahoma"/>
          <w:sz w:val="22"/>
          <w:szCs w:val="22"/>
        </w:rPr>
        <w:t>razdoblju siječanj - prosinac</w:t>
      </w:r>
      <w:r w:rsidRPr="00A9347F">
        <w:rPr>
          <w:rFonts w:ascii="Tahoma" w:hAnsi="Tahoma" w:cs="Tahoma"/>
          <w:sz w:val="22"/>
          <w:szCs w:val="22"/>
        </w:rPr>
        <w:t xml:space="preserve"> 2023.),</w:t>
      </w:r>
    </w:p>
    <w:p w:rsidR="00394C18" w:rsidRPr="00A9347F" w:rsidRDefault="00394C18" w:rsidP="0080179E">
      <w:pPr>
        <w:pStyle w:val="BodyText2"/>
        <w:ind w:left="284" w:hanging="284"/>
        <w:rPr>
          <w:rFonts w:ascii="Tahoma" w:hAnsi="Tahoma" w:cs="Tahoma"/>
          <w:szCs w:val="22"/>
        </w:rPr>
      </w:pPr>
      <w:r w:rsidRPr="00A9347F">
        <w:rPr>
          <w:rFonts w:ascii="Tahoma" w:hAnsi="Tahoma" w:cs="Tahoma"/>
          <w:szCs w:val="22"/>
        </w:rPr>
        <w:t>-</w:t>
      </w:r>
      <w:r w:rsidRPr="00A9347F">
        <w:rPr>
          <w:rFonts w:ascii="Tahoma" w:hAnsi="Tahoma" w:cs="Tahoma"/>
          <w:szCs w:val="22"/>
        </w:rPr>
        <w:tab/>
        <w:t>nedovoljan najviši iznos sudjelovanja u troškovima zdravstvene zaštite koji je obavezna snositi osigurana osoba HZZO-a po jednom liječenju ili dijagnostičkom postupku,</w:t>
      </w:r>
    </w:p>
    <w:p w:rsidR="00394C18" w:rsidRPr="00A9347F" w:rsidRDefault="00394C18" w:rsidP="0080179E">
      <w:pPr>
        <w:pStyle w:val="BodyText2"/>
        <w:ind w:left="284" w:hanging="284"/>
        <w:rPr>
          <w:rFonts w:ascii="Tahoma" w:hAnsi="Tahoma" w:cs="Tahoma"/>
          <w:szCs w:val="22"/>
        </w:rPr>
      </w:pPr>
      <w:r w:rsidRPr="00A9347F">
        <w:rPr>
          <w:rFonts w:ascii="Tahoma" w:hAnsi="Tahoma" w:cs="Tahoma"/>
          <w:szCs w:val="22"/>
        </w:rPr>
        <w:t>-</w:t>
      </w:r>
      <w:r w:rsidRPr="00A9347F">
        <w:rPr>
          <w:rFonts w:ascii="Tahoma" w:hAnsi="Tahoma" w:cs="Tahoma"/>
          <w:szCs w:val="22"/>
        </w:rPr>
        <w:tab/>
        <w:t>smanjenje kapaciteta zbog potresom oštećene bolničke infrastrukture.</w:t>
      </w:r>
    </w:p>
    <w:p w:rsidR="005F4E44" w:rsidRPr="00A9347F" w:rsidRDefault="005F4E44" w:rsidP="005F4E44">
      <w:pPr>
        <w:jc w:val="both"/>
        <w:rPr>
          <w:rFonts w:ascii="Tahoma" w:hAnsi="Tahoma" w:cs="Tahoma"/>
          <w:sz w:val="22"/>
          <w:szCs w:val="22"/>
        </w:rPr>
      </w:pPr>
    </w:p>
    <w:p w:rsidR="005F4E44" w:rsidRDefault="005F4E44" w:rsidP="005F4E44">
      <w:pPr>
        <w:jc w:val="both"/>
        <w:rPr>
          <w:rFonts w:ascii="Tahoma" w:hAnsi="Tahoma" w:cs="Tahoma"/>
          <w:sz w:val="22"/>
          <w:szCs w:val="22"/>
        </w:rPr>
      </w:pPr>
      <w:r w:rsidRPr="00A9347F">
        <w:rPr>
          <w:rFonts w:ascii="Tahoma" w:hAnsi="Tahoma" w:cs="Tahoma"/>
          <w:sz w:val="22"/>
          <w:szCs w:val="22"/>
        </w:rPr>
        <w:t>Uzroci ostvarenog rezultata poslovanja su objektivne, a ne subjektivne okolnosti u poslovanju jer KBC Zagreb nije mogao utjecati na kretanje najvećeg dijela prihoda i rashoda koji su uvjetovani vanjskim čimbenicima.</w:t>
      </w:r>
    </w:p>
    <w:p w:rsidR="003D24FC" w:rsidRDefault="003D24FC" w:rsidP="000B6089">
      <w:pPr>
        <w:jc w:val="both"/>
        <w:rPr>
          <w:rFonts w:ascii="Tahoma" w:hAnsi="Tahoma" w:cs="Tahoma"/>
          <w:sz w:val="22"/>
          <w:szCs w:val="22"/>
        </w:rPr>
      </w:pPr>
    </w:p>
    <w:p w:rsidR="001F4910" w:rsidRDefault="001F4910"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D843BC" w:rsidRDefault="00D843BC" w:rsidP="000B6089">
      <w:pPr>
        <w:jc w:val="both"/>
        <w:rPr>
          <w:rFonts w:ascii="Tahoma" w:hAnsi="Tahoma" w:cs="Tahoma"/>
          <w:sz w:val="22"/>
          <w:szCs w:val="22"/>
        </w:rPr>
      </w:pPr>
    </w:p>
    <w:p w:rsidR="001F4910" w:rsidRDefault="001F4910" w:rsidP="000B6089">
      <w:pPr>
        <w:jc w:val="both"/>
        <w:rPr>
          <w:rFonts w:ascii="Tahoma" w:hAnsi="Tahoma" w:cs="Tahoma"/>
          <w:sz w:val="22"/>
          <w:szCs w:val="22"/>
        </w:rPr>
      </w:pPr>
    </w:p>
    <w:p w:rsidR="00A9347F" w:rsidRPr="00981DAF" w:rsidRDefault="00A9347F" w:rsidP="00A9347F">
      <w:pPr>
        <w:pStyle w:val="Heading2"/>
        <w:numPr>
          <w:ilvl w:val="0"/>
          <w:numId w:val="7"/>
        </w:numPr>
        <w:ind w:left="709" w:hanging="709"/>
        <w:jc w:val="left"/>
        <w:rPr>
          <w:rFonts w:ascii="Tahoma" w:hAnsi="Tahoma" w:cs="Tahoma"/>
          <w:sz w:val="22"/>
          <w:szCs w:val="22"/>
        </w:rPr>
      </w:pPr>
      <w:r w:rsidRPr="00981DAF">
        <w:rPr>
          <w:rFonts w:ascii="Tahoma" w:hAnsi="Tahoma" w:cs="Tahoma"/>
          <w:sz w:val="22"/>
          <w:szCs w:val="22"/>
        </w:rPr>
        <w:lastRenderedPageBreak/>
        <w:t>BILANCA NA DAN 31. PROSINCA 2023. GODINE</w:t>
      </w:r>
    </w:p>
    <w:p w:rsidR="00A9347F" w:rsidRPr="00981DAF" w:rsidRDefault="00A9347F" w:rsidP="00A9347F"/>
    <w:p w:rsidR="00A9347F" w:rsidRPr="00981DAF" w:rsidRDefault="00A9347F" w:rsidP="00A9347F">
      <w:pPr>
        <w:jc w:val="both"/>
        <w:rPr>
          <w:rFonts w:ascii="Tahoma" w:hAnsi="Tahoma" w:cs="Tahoma"/>
          <w:sz w:val="22"/>
          <w:szCs w:val="22"/>
        </w:rPr>
      </w:pPr>
      <w:r w:rsidRPr="00981DAF">
        <w:rPr>
          <w:rFonts w:ascii="Tahoma" w:hAnsi="Tahoma" w:cs="Tahoma"/>
          <w:sz w:val="22"/>
          <w:szCs w:val="22"/>
        </w:rPr>
        <w:t>Bilješke uz obrazac Bilanca na dan 31. prosinca 2023. godine izrađene su sukladno Pravilniku o financijskom izvještavanju u proračunskom računovodstvu (NN 37/22) kao sastavni dio financijskog izvještaja za predmetno razdoblje.</w:t>
      </w:r>
    </w:p>
    <w:p w:rsidR="00A9347F" w:rsidRPr="00981DAF" w:rsidRDefault="00A9347F" w:rsidP="00A9347F">
      <w:pPr>
        <w:jc w:val="both"/>
        <w:rPr>
          <w:rFonts w:ascii="Tahoma" w:hAnsi="Tahoma" w:cs="Tahoma"/>
          <w:sz w:val="22"/>
          <w:szCs w:val="22"/>
        </w:rPr>
      </w:pPr>
    </w:p>
    <w:p w:rsidR="00A9347F" w:rsidRPr="00981DAF" w:rsidRDefault="00A9347F" w:rsidP="00A9347F">
      <w:pPr>
        <w:jc w:val="both"/>
        <w:rPr>
          <w:rFonts w:ascii="Tahoma" w:hAnsi="Tahoma" w:cs="Tahoma"/>
          <w:b/>
          <w:sz w:val="22"/>
          <w:szCs w:val="22"/>
        </w:rPr>
      </w:pPr>
      <w:r w:rsidRPr="00981DAF">
        <w:rPr>
          <w:rFonts w:ascii="Tahoma" w:hAnsi="Tahoma" w:cs="Tahoma"/>
          <w:b/>
          <w:sz w:val="22"/>
          <w:szCs w:val="22"/>
        </w:rPr>
        <w:t>Imovina (Šifra B001)</w:t>
      </w:r>
    </w:p>
    <w:p w:rsidR="00A9347F" w:rsidRPr="00981DAF" w:rsidRDefault="00A9347F" w:rsidP="00A9347F">
      <w:pPr>
        <w:jc w:val="both"/>
        <w:rPr>
          <w:rFonts w:ascii="Tahoma" w:hAnsi="Tahoma" w:cs="Tahoma"/>
          <w:sz w:val="22"/>
          <w:szCs w:val="22"/>
          <w:u w:val="single"/>
        </w:rPr>
      </w:pPr>
    </w:p>
    <w:p w:rsidR="00A9347F" w:rsidRPr="00981DAF" w:rsidRDefault="00A9347F" w:rsidP="00A9347F">
      <w:pPr>
        <w:jc w:val="both"/>
        <w:rPr>
          <w:rFonts w:ascii="Tahoma" w:hAnsi="Tahoma" w:cs="Tahoma"/>
          <w:sz w:val="22"/>
          <w:szCs w:val="22"/>
        </w:rPr>
      </w:pPr>
      <w:r w:rsidRPr="00981DAF">
        <w:rPr>
          <w:rFonts w:ascii="Tahoma" w:hAnsi="Tahoma" w:cs="Tahoma"/>
          <w:b/>
          <w:sz w:val="22"/>
          <w:szCs w:val="22"/>
          <w:u w:val="single"/>
        </w:rPr>
        <w:t xml:space="preserve">Građevinski objekti (Šifra 021 i 02921) </w:t>
      </w:r>
      <w:r w:rsidRPr="00981DAF">
        <w:rPr>
          <w:rFonts w:ascii="Tahoma" w:hAnsi="Tahoma" w:cs="Tahoma"/>
          <w:sz w:val="22"/>
          <w:szCs w:val="22"/>
        </w:rPr>
        <w:t xml:space="preserve"> na dan 31. prosinca 2023. godine iskazani su u iznosu od 114.993.741 EUR što je za 0,5% manje u odnosu na isti datum 2022. godine.</w:t>
      </w:r>
    </w:p>
    <w:p w:rsidR="00A9347F" w:rsidRPr="00981DAF" w:rsidRDefault="00A9347F" w:rsidP="00A9347F">
      <w:pPr>
        <w:jc w:val="both"/>
        <w:rPr>
          <w:rFonts w:ascii="Tahoma" w:hAnsi="Tahoma" w:cs="Tahoma"/>
          <w:b/>
          <w:sz w:val="22"/>
          <w:szCs w:val="22"/>
          <w:u w:val="single"/>
        </w:rPr>
      </w:pPr>
    </w:p>
    <w:p w:rsidR="00A9347F" w:rsidRPr="00981DAF" w:rsidRDefault="00A9347F" w:rsidP="00A9347F">
      <w:pPr>
        <w:jc w:val="both"/>
        <w:rPr>
          <w:rFonts w:ascii="Tahoma" w:hAnsi="Tahoma" w:cs="Tahoma"/>
          <w:sz w:val="22"/>
          <w:szCs w:val="22"/>
        </w:rPr>
      </w:pPr>
      <w:r w:rsidRPr="00981DAF">
        <w:rPr>
          <w:rFonts w:ascii="Tahoma" w:hAnsi="Tahoma" w:cs="Tahoma"/>
          <w:sz w:val="22"/>
          <w:szCs w:val="22"/>
        </w:rPr>
        <w:t>Najznačajnija ulaganja na građevinskim objektima u 2023. godini odnose se na radove na uređenju dijela prostora zgrade labor</w:t>
      </w:r>
      <w:r w:rsidR="00705DAA">
        <w:rPr>
          <w:rFonts w:ascii="Tahoma" w:hAnsi="Tahoma" w:cs="Tahoma"/>
          <w:sz w:val="22"/>
          <w:szCs w:val="22"/>
        </w:rPr>
        <w:t xml:space="preserve">atorija na lokaciji Petrova 13 i </w:t>
      </w:r>
      <w:r w:rsidRPr="00981DAF">
        <w:rPr>
          <w:rFonts w:ascii="Tahoma" w:hAnsi="Tahoma" w:cs="Tahoma"/>
          <w:sz w:val="22"/>
          <w:szCs w:val="22"/>
        </w:rPr>
        <w:t>radove na izgr</w:t>
      </w:r>
      <w:r w:rsidR="00705DAA">
        <w:rPr>
          <w:rFonts w:ascii="Tahoma" w:hAnsi="Tahoma" w:cs="Tahoma"/>
          <w:sz w:val="22"/>
          <w:szCs w:val="22"/>
        </w:rPr>
        <w:t>adnji spojnog mosta Petrova 13</w:t>
      </w:r>
      <w:r w:rsidRPr="00981DAF">
        <w:rPr>
          <w:rFonts w:ascii="Tahoma" w:hAnsi="Tahoma" w:cs="Tahoma"/>
          <w:sz w:val="22"/>
          <w:szCs w:val="22"/>
        </w:rPr>
        <w:t xml:space="preserve">. </w:t>
      </w:r>
    </w:p>
    <w:p w:rsidR="00A9347F" w:rsidRPr="00981DAF" w:rsidRDefault="00A9347F" w:rsidP="00A9347F">
      <w:pPr>
        <w:jc w:val="both"/>
        <w:rPr>
          <w:rFonts w:ascii="Tahoma" w:hAnsi="Tahoma" w:cs="Tahoma"/>
          <w:sz w:val="22"/>
          <w:szCs w:val="22"/>
          <w:u w:val="single"/>
        </w:rPr>
      </w:pPr>
    </w:p>
    <w:p w:rsidR="00A9347F" w:rsidRPr="00981DAF" w:rsidRDefault="00A9347F" w:rsidP="00A9347F">
      <w:pPr>
        <w:jc w:val="both"/>
        <w:rPr>
          <w:rFonts w:ascii="Tahoma" w:hAnsi="Tahoma" w:cs="Tahoma"/>
          <w:sz w:val="22"/>
          <w:szCs w:val="22"/>
        </w:rPr>
      </w:pPr>
      <w:r w:rsidRPr="00981DAF">
        <w:rPr>
          <w:rFonts w:ascii="Tahoma" w:hAnsi="Tahoma" w:cs="Tahoma"/>
          <w:b/>
          <w:sz w:val="22"/>
          <w:szCs w:val="22"/>
          <w:u w:val="single"/>
        </w:rPr>
        <w:t xml:space="preserve">Postrojenja i oprema (Šifra 022 i 02922) </w:t>
      </w:r>
      <w:r w:rsidRPr="00981DAF">
        <w:rPr>
          <w:rFonts w:ascii="Tahoma" w:hAnsi="Tahoma" w:cs="Tahoma"/>
          <w:sz w:val="22"/>
          <w:szCs w:val="22"/>
        </w:rPr>
        <w:t xml:space="preserve"> na dan 31. prosinca 2023. godine iskazani su u iznosu od 27.367.140 EUR što je za 25,6% više u odnosu na isti datum 2022. godine.</w:t>
      </w:r>
    </w:p>
    <w:p w:rsidR="00A9347F" w:rsidRPr="00981DAF" w:rsidRDefault="00A9347F" w:rsidP="00A9347F">
      <w:pPr>
        <w:jc w:val="both"/>
        <w:rPr>
          <w:rFonts w:ascii="Tahoma" w:hAnsi="Tahoma" w:cs="Tahoma"/>
          <w:sz w:val="22"/>
          <w:szCs w:val="22"/>
          <w:u w:val="single"/>
        </w:rPr>
      </w:pPr>
    </w:p>
    <w:p w:rsidR="00A9347F" w:rsidRPr="00981DAF" w:rsidRDefault="00A9347F" w:rsidP="00A9347F">
      <w:pPr>
        <w:jc w:val="both"/>
        <w:rPr>
          <w:rFonts w:ascii="Tahoma" w:hAnsi="Tahoma" w:cs="Tahoma"/>
          <w:sz w:val="22"/>
          <w:szCs w:val="22"/>
        </w:rPr>
      </w:pPr>
      <w:r w:rsidRPr="00981DAF">
        <w:rPr>
          <w:rFonts w:ascii="Tahoma" w:hAnsi="Tahoma" w:cs="Tahoma"/>
          <w:sz w:val="22"/>
          <w:szCs w:val="22"/>
        </w:rPr>
        <w:t>Na povećanje vrijednosti postrojenja i opreme najviše su utjecala ulaganja u medicinsku i laboratorijsku opremu (12.976.535 EUR) te komunikacijsku opremu (368.753 EUR)</w:t>
      </w:r>
    </w:p>
    <w:p w:rsidR="00A9347F" w:rsidRPr="00981DAF" w:rsidRDefault="00A9347F" w:rsidP="00A9347F">
      <w:pPr>
        <w:jc w:val="both"/>
        <w:rPr>
          <w:rFonts w:ascii="Tahoma" w:hAnsi="Tahoma" w:cs="Tahoma"/>
          <w:sz w:val="22"/>
          <w:szCs w:val="22"/>
        </w:rPr>
      </w:pPr>
    </w:p>
    <w:p w:rsidR="00A9347F" w:rsidRPr="00981DAF" w:rsidRDefault="00A9347F" w:rsidP="00A9347F">
      <w:pPr>
        <w:jc w:val="both"/>
        <w:rPr>
          <w:rFonts w:ascii="Tahoma" w:hAnsi="Tahoma" w:cs="Tahoma"/>
          <w:sz w:val="22"/>
          <w:szCs w:val="22"/>
        </w:rPr>
      </w:pPr>
      <w:r w:rsidRPr="00981DAF">
        <w:rPr>
          <w:rFonts w:ascii="Tahoma" w:hAnsi="Tahoma" w:cs="Tahoma"/>
          <w:sz w:val="22"/>
          <w:szCs w:val="22"/>
        </w:rPr>
        <w:t xml:space="preserve">Najznačajnija ulaganja u medicinsku i laboratorijsku opremu odnose na uređaj </w:t>
      </w:r>
      <w:r w:rsidR="00D82A0D">
        <w:rPr>
          <w:rFonts w:ascii="Tahoma" w:hAnsi="Tahoma" w:cs="Tahoma"/>
          <w:sz w:val="22"/>
          <w:szCs w:val="22"/>
        </w:rPr>
        <w:t xml:space="preserve">MR za potrebe </w:t>
      </w:r>
      <w:proofErr w:type="spellStart"/>
      <w:r w:rsidR="00D82A0D">
        <w:rPr>
          <w:rFonts w:ascii="Tahoma" w:hAnsi="Tahoma" w:cs="Tahoma"/>
          <w:sz w:val="22"/>
          <w:szCs w:val="22"/>
        </w:rPr>
        <w:t>neuroradiologije</w:t>
      </w:r>
      <w:proofErr w:type="spellEnd"/>
      <w:r w:rsidRPr="00981DAF">
        <w:rPr>
          <w:rFonts w:ascii="Tahoma" w:hAnsi="Tahoma" w:cs="Tahoma"/>
          <w:sz w:val="22"/>
          <w:szCs w:val="22"/>
        </w:rPr>
        <w:t>, CT uređaj za polikliniku Kliničkog Zavoda za dijagnostičku i intervencijsk</w:t>
      </w:r>
      <w:r w:rsidR="00D82A0D">
        <w:rPr>
          <w:rFonts w:ascii="Tahoma" w:hAnsi="Tahoma" w:cs="Tahoma"/>
          <w:sz w:val="22"/>
          <w:szCs w:val="22"/>
        </w:rPr>
        <w:t>u radiologiju</w:t>
      </w:r>
      <w:r w:rsidR="00455BA8">
        <w:rPr>
          <w:rFonts w:ascii="Tahoma" w:hAnsi="Tahoma" w:cs="Tahoma"/>
          <w:sz w:val="22"/>
          <w:szCs w:val="22"/>
        </w:rPr>
        <w:t>, m</w:t>
      </w:r>
      <w:r w:rsidRPr="00981DAF">
        <w:rPr>
          <w:rFonts w:ascii="Tahoma" w:hAnsi="Tahoma" w:cs="Tahoma"/>
          <w:sz w:val="22"/>
          <w:szCs w:val="22"/>
        </w:rPr>
        <w:t>ikros</w:t>
      </w:r>
      <w:r w:rsidR="00D82A0D">
        <w:rPr>
          <w:rFonts w:ascii="Tahoma" w:hAnsi="Tahoma" w:cs="Tahoma"/>
          <w:sz w:val="22"/>
          <w:szCs w:val="22"/>
        </w:rPr>
        <w:t>kop operacijski</w:t>
      </w:r>
      <w:r w:rsidR="00455BA8">
        <w:rPr>
          <w:rFonts w:ascii="Tahoma" w:hAnsi="Tahoma" w:cs="Tahoma"/>
          <w:sz w:val="22"/>
          <w:szCs w:val="22"/>
        </w:rPr>
        <w:t>, o</w:t>
      </w:r>
      <w:r w:rsidR="00D82A0D">
        <w:rPr>
          <w:rFonts w:ascii="Tahoma" w:hAnsi="Tahoma" w:cs="Tahoma"/>
          <w:sz w:val="22"/>
          <w:szCs w:val="22"/>
        </w:rPr>
        <w:t>peracijske lampe, endoskopski stupovi</w:t>
      </w:r>
      <w:r w:rsidRPr="00981DAF">
        <w:rPr>
          <w:rFonts w:ascii="Tahoma" w:hAnsi="Tahoma" w:cs="Tahoma"/>
          <w:sz w:val="22"/>
          <w:szCs w:val="22"/>
        </w:rPr>
        <w:t>, skener digitalni za pot</w:t>
      </w:r>
      <w:r w:rsidR="00D82A0D">
        <w:rPr>
          <w:rFonts w:ascii="Tahoma" w:hAnsi="Tahoma" w:cs="Tahoma"/>
          <w:sz w:val="22"/>
          <w:szCs w:val="22"/>
        </w:rPr>
        <w:t>rebe patologije</w:t>
      </w:r>
      <w:r w:rsidR="00455BA8">
        <w:rPr>
          <w:rFonts w:ascii="Tahoma" w:hAnsi="Tahoma" w:cs="Tahoma"/>
          <w:sz w:val="22"/>
          <w:szCs w:val="22"/>
        </w:rPr>
        <w:t>, r</w:t>
      </w:r>
      <w:r w:rsidRPr="00981DAF">
        <w:rPr>
          <w:rFonts w:ascii="Tahoma" w:hAnsi="Tahoma" w:cs="Tahoma"/>
          <w:sz w:val="22"/>
          <w:szCs w:val="22"/>
        </w:rPr>
        <w:t xml:space="preserve">espirator </w:t>
      </w:r>
      <w:proofErr w:type="spellStart"/>
      <w:r w:rsidRPr="00981DAF">
        <w:rPr>
          <w:rFonts w:ascii="Tahoma" w:hAnsi="Tahoma" w:cs="Tahoma"/>
          <w:sz w:val="22"/>
          <w:szCs w:val="22"/>
        </w:rPr>
        <w:t>n</w:t>
      </w:r>
      <w:r w:rsidR="00241EA4">
        <w:rPr>
          <w:rFonts w:ascii="Tahoma" w:hAnsi="Tahoma" w:cs="Tahoma"/>
          <w:sz w:val="22"/>
          <w:szCs w:val="22"/>
        </w:rPr>
        <w:t>eonatalni</w:t>
      </w:r>
      <w:proofErr w:type="spellEnd"/>
      <w:r w:rsidR="00241EA4">
        <w:rPr>
          <w:rFonts w:ascii="Tahoma" w:hAnsi="Tahoma" w:cs="Tahoma"/>
          <w:sz w:val="22"/>
          <w:szCs w:val="22"/>
        </w:rPr>
        <w:t xml:space="preserve"> s funkcijom </w:t>
      </w:r>
      <w:r w:rsidR="00241EA4" w:rsidRPr="00AE336F">
        <w:rPr>
          <w:rFonts w:ascii="Tahoma" w:hAnsi="Tahoma" w:cs="Tahoma"/>
          <w:sz w:val="22"/>
          <w:szCs w:val="22"/>
        </w:rPr>
        <w:t>visokofre</w:t>
      </w:r>
      <w:r w:rsidRPr="00AE336F">
        <w:rPr>
          <w:rFonts w:ascii="Tahoma" w:hAnsi="Tahoma" w:cs="Tahoma"/>
          <w:sz w:val="22"/>
          <w:szCs w:val="22"/>
        </w:rPr>
        <w:t>kventne</w:t>
      </w:r>
      <w:r w:rsidRPr="00981DAF">
        <w:rPr>
          <w:rFonts w:ascii="Tahoma" w:hAnsi="Tahoma" w:cs="Tahoma"/>
          <w:sz w:val="22"/>
          <w:szCs w:val="22"/>
        </w:rPr>
        <w:t xml:space="preserve"> ventilacije, nado</w:t>
      </w:r>
      <w:r w:rsidR="00D82A0D">
        <w:rPr>
          <w:rFonts w:ascii="Tahoma" w:hAnsi="Tahoma" w:cs="Tahoma"/>
          <w:sz w:val="22"/>
          <w:szCs w:val="22"/>
        </w:rPr>
        <w:t>gradnja linearnog akceleratora</w:t>
      </w:r>
      <w:r w:rsidRPr="00981DAF">
        <w:rPr>
          <w:rFonts w:ascii="Tahoma" w:hAnsi="Tahoma" w:cs="Tahoma"/>
          <w:sz w:val="22"/>
          <w:szCs w:val="22"/>
        </w:rPr>
        <w:t>, ur</w:t>
      </w:r>
      <w:r w:rsidR="00D82A0D">
        <w:rPr>
          <w:rFonts w:ascii="Tahoma" w:hAnsi="Tahoma" w:cs="Tahoma"/>
          <w:sz w:val="22"/>
          <w:szCs w:val="22"/>
        </w:rPr>
        <w:t>eđaji za pranje i dezinfekciju</w:t>
      </w:r>
      <w:r w:rsidRPr="00981DAF">
        <w:rPr>
          <w:rFonts w:ascii="Tahoma" w:hAnsi="Tahoma" w:cs="Tahoma"/>
          <w:sz w:val="22"/>
          <w:szCs w:val="22"/>
        </w:rPr>
        <w:t>.</w:t>
      </w:r>
    </w:p>
    <w:p w:rsidR="00A9347F" w:rsidRPr="00981DAF" w:rsidRDefault="00A9347F" w:rsidP="00A9347F">
      <w:pPr>
        <w:jc w:val="both"/>
        <w:rPr>
          <w:rFonts w:ascii="Tahoma" w:hAnsi="Tahoma" w:cs="Tahoma"/>
          <w:sz w:val="22"/>
          <w:szCs w:val="22"/>
        </w:rPr>
      </w:pPr>
    </w:p>
    <w:p w:rsidR="00A9347F" w:rsidRPr="00981DAF" w:rsidRDefault="00A9347F" w:rsidP="00A9347F">
      <w:pPr>
        <w:jc w:val="both"/>
        <w:rPr>
          <w:rFonts w:ascii="Tahoma" w:hAnsi="Tahoma" w:cs="Tahoma"/>
          <w:sz w:val="22"/>
          <w:szCs w:val="22"/>
        </w:rPr>
      </w:pPr>
      <w:r w:rsidRPr="00981DAF">
        <w:rPr>
          <w:rFonts w:ascii="Tahoma" w:hAnsi="Tahoma" w:cs="Tahoma"/>
          <w:sz w:val="22"/>
          <w:szCs w:val="22"/>
        </w:rPr>
        <w:t>Najznačajnija ulaganja u komunikacijsku opremu odnose se na nabavu nadogradnje sustava tehničke zaštite na lokacijama KBC-a Zagreb.</w:t>
      </w:r>
    </w:p>
    <w:p w:rsidR="00A9347F" w:rsidRPr="00981DAF" w:rsidRDefault="00A9347F" w:rsidP="00A9347F">
      <w:pPr>
        <w:jc w:val="both"/>
        <w:rPr>
          <w:rFonts w:ascii="Tahoma" w:hAnsi="Tahoma" w:cs="Tahoma"/>
          <w:sz w:val="22"/>
          <w:szCs w:val="22"/>
        </w:rPr>
      </w:pPr>
    </w:p>
    <w:p w:rsidR="00A9347F" w:rsidRPr="00981DAF" w:rsidRDefault="00A9347F" w:rsidP="00A9347F">
      <w:pPr>
        <w:jc w:val="both"/>
        <w:rPr>
          <w:rFonts w:ascii="Tahoma" w:hAnsi="Tahoma" w:cs="Tahoma"/>
          <w:sz w:val="22"/>
          <w:szCs w:val="22"/>
        </w:rPr>
      </w:pPr>
      <w:r w:rsidRPr="00981DAF">
        <w:rPr>
          <w:rFonts w:ascii="Tahoma" w:hAnsi="Tahoma" w:cs="Tahoma"/>
          <w:b/>
          <w:sz w:val="22"/>
          <w:szCs w:val="22"/>
          <w:u w:val="single"/>
        </w:rPr>
        <w:t xml:space="preserve">Nematerijalna proizvedena imovina (Šifra 026 i 02926) </w:t>
      </w:r>
      <w:r w:rsidRPr="00981DAF">
        <w:rPr>
          <w:rFonts w:ascii="Tahoma" w:hAnsi="Tahoma" w:cs="Tahoma"/>
          <w:sz w:val="22"/>
          <w:szCs w:val="22"/>
        </w:rPr>
        <w:t xml:space="preserve"> na dan 31. prosinca 2023. godine iskazana je u iznosu od 1.410.000 EUR što je za 23,9% manje u odnosu na isti datum 2022. godine.</w:t>
      </w:r>
    </w:p>
    <w:p w:rsidR="00A9347F" w:rsidRPr="00981DAF" w:rsidRDefault="00A9347F" w:rsidP="00A9347F">
      <w:pPr>
        <w:jc w:val="both"/>
        <w:rPr>
          <w:rFonts w:ascii="Tahoma" w:hAnsi="Tahoma" w:cs="Tahoma"/>
          <w:sz w:val="22"/>
          <w:szCs w:val="22"/>
        </w:rPr>
      </w:pPr>
    </w:p>
    <w:p w:rsidR="00A9347F" w:rsidRPr="00981DAF" w:rsidRDefault="00A9347F" w:rsidP="00A9347F">
      <w:pPr>
        <w:jc w:val="both"/>
        <w:rPr>
          <w:rFonts w:ascii="Tahoma" w:hAnsi="Tahoma" w:cs="Tahoma"/>
          <w:sz w:val="22"/>
          <w:szCs w:val="22"/>
        </w:rPr>
      </w:pPr>
      <w:r w:rsidRPr="00981DAF">
        <w:rPr>
          <w:rFonts w:ascii="Tahoma" w:hAnsi="Tahoma" w:cs="Tahoma"/>
          <w:b/>
          <w:sz w:val="22"/>
          <w:szCs w:val="22"/>
          <w:u w:val="single"/>
        </w:rPr>
        <w:t>Građevinski objekti u pripremi (Šifra 051)</w:t>
      </w:r>
      <w:r w:rsidRPr="00981DAF">
        <w:rPr>
          <w:rFonts w:ascii="Tahoma" w:hAnsi="Tahoma" w:cs="Tahoma"/>
          <w:sz w:val="22"/>
          <w:szCs w:val="22"/>
          <w:u w:val="single"/>
        </w:rPr>
        <w:t xml:space="preserve"> </w:t>
      </w:r>
      <w:r w:rsidRPr="00981DAF">
        <w:rPr>
          <w:rFonts w:ascii="Tahoma" w:hAnsi="Tahoma" w:cs="Tahoma"/>
          <w:sz w:val="22"/>
          <w:szCs w:val="22"/>
        </w:rPr>
        <w:t>na dan 31. prosinca 2023. godine iskazani su u iz</w:t>
      </w:r>
      <w:r w:rsidR="000600F1">
        <w:rPr>
          <w:rFonts w:ascii="Tahoma" w:hAnsi="Tahoma" w:cs="Tahoma"/>
          <w:sz w:val="22"/>
          <w:szCs w:val="22"/>
        </w:rPr>
        <w:t>nosu od 38.647.647 EUR što je</w:t>
      </w:r>
      <w:r w:rsidRPr="00981DAF">
        <w:rPr>
          <w:rFonts w:ascii="Tahoma" w:hAnsi="Tahoma" w:cs="Tahoma"/>
          <w:sz w:val="22"/>
          <w:szCs w:val="22"/>
        </w:rPr>
        <w:t xml:space="preserve"> </w:t>
      </w:r>
      <w:r w:rsidR="0003255E">
        <w:rPr>
          <w:rFonts w:ascii="Tahoma" w:hAnsi="Tahoma" w:cs="Tahoma"/>
          <w:sz w:val="22"/>
          <w:szCs w:val="22"/>
        </w:rPr>
        <w:t>višestruko</w:t>
      </w:r>
      <w:r w:rsidRPr="0003255E">
        <w:rPr>
          <w:rFonts w:ascii="Tahoma" w:hAnsi="Tahoma" w:cs="Tahoma"/>
          <w:sz w:val="22"/>
          <w:szCs w:val="22"/>
        </w:rPr>
        <w:t xml:space="preserve"> </w:t>
      </w:r>
      <w:r w:rsidR="0003255E">
        <w:rPr>
          <w:rFonts w:ascii="Tahoma" w:hAnsi="Tahoma" w:cs="Tahoma"/>
          <w:sz w:val="22"/>
          <w:szCs w:val="22"/>
        </w:rPr>
        <w:t>povećanje</w:t>
      </w:r>
      <w:r w:rsidRPr="00981DAF">
        <w:rPr>
          <w:rFonts w:ascii="Tahoma" w:hAnsi="Tahoma" w:cs="Tahoma"/>
          <w:sz w:val="22"/>
          <w:szCs w:val="22"/>
        </w:rPr>
        <w:t xml:space="preserve"> u odnosu na isti datum 2022. godine. </w:t>
      </w:r>
    </w:p>
    <w:p w:rsidR="00A9347F" w:rsidRPr="00981DAF" w:rsidRDefault="00A9347F" w:rsidP="00A9347F">
      <w:pPr>
        <w:jc w:val="both"/>
        <w:rPr>
          <w:rFonts w:ascii="Tahoma" w:hAnsi="Tahoma" w:cs="Tahoma"/>
          <w:sz w:val="22"/>
          <w:szCs w:val="22"/>
        </w:rPr>
      </w:pPr>
    </w:p>
    <w:p w:rsidR="00A9347F" w:rsidRPr="00981DAF" w:rsidRDefault="00A9347F" w:rsidP="00A9347F">
      <w:pPr>
        <w:jc w:val="both"/>
        <w:rPr>
          <w:rFonts w:ascii="Tahoma" w:hAnsi="Tahoma" w:cs="Tahoma"/>
          <w:sz w:val="22"/>
          <w:szCs w:val="22"/>
        </w:rPr>
      </w:pPr>
      <w:r w:rsidRPr="00981DAF">
        <w:rPr>
          <w:rFonts w:ascii="Tahoma" w:hAnsi="Tahoma" w:cs="Tahoma"/>
          <w:sz w:val="22"/>
          <w:szCs w:val="22"/>
        </w:rPr>
        <w:t xml:space="preserve">Na povećanje vrijednosti građevinskih objekata u pripremi utjecalo je dodatno ulaganje na građevinskim objektima koji se odnose na radove na obnovi šteta od potresa za Projekt obnove od potresa bolnice Petrove 13 (FSEU.2021.MZ.004.), Projekt obnove od potresa Klinike za plućne bolesti KBC-a Zagreb na lokaciji </w:t>
      </w:r>
      <w:proofErr w:type="spellStart"/>
      <w:r w:rsidRPr="00981DAF">
        <w:rPr>
          <w:rFonts w:ascii="Tahoma" w:hAnsi="Tahoma" w:cs="Tahoma"/>
          <w:sz w:val="22"/>
          <w:szCs w:val="22"/>
        </w:rPr>
        <w:t>Jordanovac</w:t>
      </w:r>
      <w:proofErr w:type="spellEnd"/>
      <w:r w:rsidRPr="00981DAF">
        <w:rPr>
          <w:rFonts w:ascii="Tahoma" w:hAnsi="Tahoma" w:cs="Tahoma"/>
          <w:sz w:val="22"/>
          <w:szCs w:val="22"/>
        </w:rPr>
        <w:t xml:space="preserve"> (FSEU.2021.MZ.010.), Projekt cjelovite obnove od potresa Glavne zgrade KBC-a Zagreb na lokaciji </w:t>
      </w:r>
      <w:proofErr w:type="spellStart"/>
      <w:r w:rsidRPr="00981DAF">
        <w:rPr>
          <w:rFonts w:ascii="Tahoma" w:hAnsi="Tahoma" w:cs="Tahoma"/>
          <w:sz w:val="22"/>
          <w:szCs w:val="22"/>
        </w:rPr>
        <w:t>Kišpatićeva</w:t>
      </w:r>
      <w:proofErr w:type="spellEnd"/>
      <w:r w:rsidRPr="00981DAF">
        <w:rPr>
          <w:rFonts w:ascii="Tahoma" w:hAnsi="Tahoma" w:cs="Tahoma"/>
          <w:sz w:val="22"/>
          <w:szCs w:val="22"/>
        </w:rPr>
        <w:t xml:space="preserve"> 12 (FSEU.2021.MZ.024.) i Projekt cjelovite obnove od potresa Žute zgrade u sklopu kompleksa KBC-a Rebro (FSEU.2021.MZ.035.) u ukupnom iznosu od 37.713.904 EUR.</w:t>
      </w:r>
    </w:p>
    <w:p w:rsidR="00A9347F" w:rsidRPr="00981DAF" w:rsidRDefault="00A9347F" w:rsidP="00A9347F">
      <w:pPr>
        <w:jc w:val="both"/>
        <w:rPr>
          <w:rFonts w:ascii="Tahoma" w:hAnsi="Tahoma" w:cs="Tahoma"/>
          <w:sz w:val="22"/>
          <w:szCs w:val="22"/>
        </w:rPr>
      </w:pPr>
    </w:p>
    <w:p w:rsidR="00A9347F" w:rsidRPr="00981DAF" w:rsidRDefault="00A9347F" w:rsidP="00A9347F">
      <w:pPr>
        <w:jc w:val="both"/>
        <w:rPr>
          <w:rFonts w:ascii="Tahoma" w:hAnsi="Tahoma" w:cs="Tahoma"/>
          <w:sz w:val="22"/>
          <w:szCs w:val="22"/>
        </w:rPr>
      </w:pPr>
      <w:r w:rsidRPr="00981DAF">
        <w:rPr>
          <w:rFonts w:ascii="Tahoma" w:hAnsi="Tahoma" w:cs="Tahoma"/>
          <w:b/>
          <w:sz w:val="22"/>
          <w:szCs w:val="22"/>
        </w:rPr>
        <w:t xml:space="preserve">Zalihe za obavljanje djelatnosti (Šifra 061) </w:t>
      </w:r>
      <w:r w:rsidRPr="00981DAF">
        <w:rPr>
          <w:rFonts w:ascii="Tahoma" w:hAnsi="Tahoma" w:cs="Tahoma"/>
          <w:sz w:val="22"/>
          <w:szCs w:val="22"/>
        </w:rPr>
        <w:t>na dan 31. prosinca 2023. godine iskazane su u iznosu od 5.909.281 EUR što je za 24,2% manje u odnosu na isti datum 2022. godine.</w:t>
      </w:r>
    </w:p>
    <w:p w:rsidR="00A9347F" w:rsidRPr="00981DAF" w:rsidRDefault="00A9347F" w:rsidP="00A9347F">
      <w:pPr>
        <w:jc w:val="both"/>
        <w:rPr>
          <w:rFonts w:ascii="Tahoma" w:hAnsi="Tahoma" w:cs="Tahoma"/>
          <w:sz w:val="22"/>
          <w:szCs w:val="22"/>
        </w:rPr>
      </w:pPr>
    </w:p>
    <w:p w:rsidR="00A9347F" w:rsidRDefault="00A9347F" w:rsidP="00A9347F">
      <w:pPr>
        <w:jc w:val="both"/>
        <w:rPr>
          <w:rFonts w:ascii="Tahoma" w:hAnsi="Tahoma" w:cs="Tahoma"/>
          <w:sz w:val="22"/>
          <w:szCs w:val="22"/>
        </w:rPr>
      </w:pPr>
      <w:r w:rsidRPr="00981DAF">
        <w:rPr>
          <w:rFonts w:ascii="Tahoma" w:hAnsi="Tahoma" w:cs="Tahoma"/>
          <w:sz w:val="22"/>
          <w:szCs w:val="22"/>
        </w:rPr>
        <w:t xml:space="preserve">Do smanjenja zaliha za obavljanje djelatnosti došlo je zbog uvođenja eura kao službene valute u Republici Hrvatskoj od 1. siječnja 2023. godine i prilagodbe postojećeg poslovno informacijskog sustava kroz primjenu novog modula. Zbog navedenog Bolnička ljekarna je napravila narudžbe u prosincu 2022. godine za dio siječnja 2023. godine kako bi u razdoblju bez adekvatnog praćenja stanja zaliha i knjiženja zahtjeva i primki maksimalno osigurala pravovremene isporuke lijekova i materijala na Klinike. </w:t>
      </w:r>
    </w:p>
    <w:p w:rsidR="003432DC" w:rsidRPr="00112948" w:rsidRDefault="003432DC" w:rsidP="00A9347F">
      <w:pPr>
        <w:jc w:val="both"/>
        <w:rPr>
          <w:rFonts w:ascii="Tahoma" w:hAnsi="Tahoma" w:cs="Tahoma"/>
          <w:sz w:val="22"/>
          <w:szCs w:val="22"/>
        </w:rPr>
      </w:pPr>
      <w:r w:rsidRPr="00112948">
        <w:rPr>
          <w:rFonts w:ascii="Tahoma" w:hAnsi="Tahoma" w:cs="Tahoma"/>
          <w:b/>
          <w:sz w:val="22"/>
          <w:szCs w:val="22"/>
          <w:u w:val="single"/>
        </w:rPr>
        <w:lastRenderedPageBreak/>
        <w:t>Novac u banci (Šifra 111)</w:t>
      </w:r>
      <w:r w:rsidRPr="00112948">
        <w:rPr>
          <w:rFonts w:ascii="Tahoma" w:hAnsi="Tahoma" w:cs="Tahoma"/>
          <w:sz w:val="22"/>
          <w:szCs w:val="22"/>
        </w:rPr>
        <w:t xml:space="preserve"> na dan 31. prosinca 2023. godine iskazan je u iznosu od 102.360 EUR što je za 38,6% više u odnosu na isti datum 2022. godine.</w:t>
      </w:r>
    </w:p>
    <w:p w:rsidR="003432DC" w:rsidRPr="00112948" w:rsidRDefault="003432DC" w:rsidP="00A9347F">
      <w:pPr>
        <w:jc w:val="both"/>
        <w:rPr>
          <w:rFonts w:ascii="Tahoma" w:hAnsi="Tahoma" w:cs="Tahoma"/>
          <w:sz w:val="22"/>
          <w:szCs w:val="22"/>
        </w:rPr>
      </w:pPr>
    </w:p>
    <w:p w:rsidR="003432DC" w:rsidRDefault="00141293" w:rsidP="00A9347F">
      <w:pPr>
        <w:jc w:val="both"/>
        <w:rPr>
          <w:rFonts w:ascii="Tahoma" w:hAnsi="Tahoma" w:cs="Tahoma"/>
          <w:sz w:val="22"/>
          <w:szCs w:val="22"/>
        </w:rPr>
      </w:pPr>
      <w:r w:rsidRPr="00112948">
        <w:rPr>
          <w:rFonts w:ascii="Tahoma" w:hAnsi="Tahoma" w:cs="Tahoma"/>
          <w:sz w:val="22"/>
          <w:szCs w:val="22"/>
        </w:rPr>
        <w:t xml:space="preserve">Uplate koje je KBC Zagreb tijekom 2023. godine ostvario na računu u poslovnoj banci uplaćene su na račun državnog proračuna. Na povećanje je utjecao povećani priljev sredstava na račun u poslovnoj banci </w:t>
      </w:r>
      <w:r w:rsidR="004E23FB" w:rsidRPr="00112948">
        <w:rPr>
          <w:rFonts w:ascii="Tahoma" w:hAnsi="Tahoma" w:cs="Tahoma"/>
          <w:sz w:val="22"/>
          <w:szCs w:val="22"/>
        </w:rPr>
        <w:t>dana 29.12.2023. godine.</w:t>
      </w:r>
      <w:r w:rsidR="004E23FB">
        <w:rPr>
          <w:rFonts w:ascii="Tahoma" w:hAnsi="Tahoma" w:cs="Tahoma"/>
          <w:sz w:val="22"/>
          <w:szCs w:val="22"/>
        </w:rPr>
        <w:t xml:space="preserve"> </w:t>
      </w:r>
    </w:p>
    <w:p w:rsidR="003432DC" w:rsidRPr="003432DC" w:rsidRDefault="003432DC" w:rsidP="00A9347F">
      <w:pPr>
        <w:jc w:val="both"/>
        <w:rPr>
          <w:rFonts w:ascii="Tahoma" w:hAnsi="Tahoma" w:cs="Tahoma"/>
          <w:b/>
          <w:sz w:val="22"/>
          <w:szCs w:val="22"/>
          <w:u w:val="single"/>
        </w:rPr>
      </w:pPr>
    </w:p>
    <w:p w:rsidR="00A9347F" w:rsidRPr="00981DAF" w:rsidRDefault="00A9347F" w:rsidP="00A9347F">
      <w:pPr>
        <w:jc w:val="both"/>
        <w:rPr>
          <w:rFonts w:ascii="Tahoma" w:hAnsi="Tahoma" w:cs="Tahoma"/>
          <w:sz w:val="22"/>
          <w:szCs w:val="22"/>
        </w:rPr>
      </w:pPr>
      <w:r w:rsidRPr="00981DAF">
        <w:rPr>
          <w:rFonts w:ascii="Tahoma" w:hAnsi="Tahoma" w:cs="Tahoma"/>
          <w:b/>
          <w:sz w:val="22"/>
          <w:szCs w:val="22"/>
          <w:u w:val="single"/>
        </w:rPr>
        <w:t>Potraživanja za prihode poslovanja (Šifra 16)</w:t>
      </w:r>
      <w:r w:rsidRPr="00981DAF">
        <w:rPr>
          <w:rFonts w:ascii="Tahoma" w:hAnsi="Tahoma" w:cs="Tahoma"/>
          <w:sz w:val="22"/>
          <w:szCs w:val="22"/>
          <w:u w:val="single"/>
        </w:rPr>
        <w:t xml:space="preserve"> </w:t>
      </w:r>
      <w:r w:rsidRPr="00981DAF">
        <w:rPr>
          <w:rFonts w:ascii="Tahoma" w:hAnsi="Tahoma" w:cs="Tahoma"/>
          <w:sz w:val="22"/>
          <w:szCs w:val="22"/>
        </w:rPr>
        <w:t>na dan 31. prosinca 2023. godine iskazani su u iznosu od 54.867.974 EUR što je za 1% više u odnosu na isti datum 2022. godine.</w:t>
      </w:r>
    </w:p>
    <w:p w:rsidR="00A9347F" w:rsidRPr="00981DAF" w:rsidRDefault="00A9347F" w:rsidP="00A9347F">
      <w:pPr>
        <w:jc w:val="both"/>
        <w:rPr>
          <w:rFonts w:ascii="Tahoma" w:hAnsi="Tahoma" w:cs="Tahoma"/>
          <w:sz w:val="22"/>
          <w:szCs w:val="22"/>
          <w:u w:val="single"/>
        </w:rPr>
      </w:pPr>
    </w:p>
    <w:p w:rsidR="00A9347F" w:rsidRPr="00981DAF" w:rsidRDefault="00A9347F" w:rsidP="00A9347F">
      <w:pPr>
        <w:pStyle w:val="NoSpacing"/>
        <w:jc w:val="both"/>
        <w:rPr>
          <w:rFonts w:ascii="Tahoma" w:hAnsi="Tahoma" w:cs="Tahoma"/>
        </w:rPr>
      </w:pPr>
      <w:r w:rsidRPr="00981DAF">
        <w:rPr>
          <w:rFonts w:ascii="Tahoma" w:hAnsi="Tahoma" w:cs="Tahoma"/>
        </w:rPr>
        <w:t xml:space="preserve">Potraživanja za participacije i dopunsko osiguranje bilježe rast od 22,7%, potraživanja za prihode ostvarene na tržištu bilježe rast od 0,8%, a potraživanja </w:t>
      </w:r>
      <w:r w:rsidR="003136DC">
        <w:rPr>
          <w:rFonts w:ascii="Tahoma" w:hAnsi="Tahoma" w:cs="Tahoma"/>
        </w:rPr>
        <w:t>proračunskih</w:t>
      </w:r>
      <w:r w:rsidR="003136DC" w:rsidRPr="003136DC">
        <w:rPr>
          <w:rFonts w:ascii="Tahoma" w:hAnsi="Tahoma" w:cs="Tahoma"/>
        </w:rPr>
        <w:t xml:space="preserve"> korisnika za sredstva uplaćena u proračun i za prihode od HZZO na temelju ugovornih obveza </w:t>
      </w:r>
      <w:r w:rsidRPr="00981DAF">
        <w:rPr>
          <w:rFonts w:ascii="Tahoma" w:hAnsi="Tahoma" w:cs="Tahoma"/>
        </w:rPr>
        <w:t xml:space="preserve">manja su za 0,02%. </w:t>
      </w:r>
    </w:p>
    <w:p w:rsidR="00A9347F" w:rsidRPr="00981DAF" w:rsidRDefault="00A9347F" w:rsidP="00A9347F">
      <w:pPr>
        <w:pStyle w:val="NoSpacing"/>
        <w:jc w:val="both"/>
        <w:rPr>
          <w:rFonts w:ascii="Tahoma" w:hAnsi="Tahoma" w:cs="Tahoma"/>
        </w:rPr>
      </w:pPr>
    </w:p>
    <w:p w:rsidR="00A9347F" w:rsidRPr="00981DAF" w:rsidRDefault="00A9347F" w:rsidP="00A9347F">
      <w:pPr>
        <w:pStyle w:val="NoSpacing"/>
        <w:jc w:val="both"/>
        <w:rPr>
          <w:rFonts w:ascii="Tahoma" w:hAnsi="Tahoma" w:cs="Tahoma"/>
        </w:rPr>
      </w:pPr>
    </w:p>
    <w:tbl>
      <w:tblPr>
        <w:tblW w:w="9072" w:type="dxa"/>
        <w:jc w:val="center"/>
        <w:tblLook w:val="04A0" w:firstRow="1" w:lastRow="0" w:firstColumn="1" w:lastColumn="0" w:noHBand="0" w:noVBand="1"/>
      </w:tblPr>
      <w:tblGrid>
        <w:gridCol w:w="4678"/>
        <w:gridCol w:w="1701"/>
        <w:gridCol w:w="1701"/>
        <w:gridCol w:w="992"/>
      </w:tblGrid>
      <w:tr w:rsidR="00A9347F" w:rsidRPr="00112948" w:rsidTr="00133B39">
        <w:trPr>
          <w:trHeight w:val="315"/>
          <w:jc w:val="center"/>
        </w:trPr>
        <w:tc>
          <w:tcPr>
            <w:tcW w:w="46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347F" w:rsidRPr="00112948" w:rsidRDefault="00A9347F" w:rsidP="00133B39">
            <w:pPr>
              <w:rPr>
                <w:rFonts w:ascii="Tahoma" w:hAnsi="Tahoma" w:cs="Tahoma"/>
                <w:color w:val="000000"/>
                <w:sz w:val="20"/>
                <w:szCs w:val="22"/>
                <w:lang w:eastAsia="hr-HR"/>
              </w:rPr>
            </w:pPr>
            <w:r w:rsidRPr="00112948">
              <w:rPr>
                <w:rFonts w:ascii="Tahoma" w:hAnsi="Tahoma" w:cs="Tahoma"/>
                <w:color w:val="000000"/>
                <w:sz w:val="20"/>
                <w:szCs w:val="22"/>
              </w:rPr>
              <w:t>Naziv pozicije</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A9347F" w:rsidRPr="00112948" w:rsidRDefault="00A9347F" w:rsidP="00133B39">
            <w:pPr>
              <w:rPr>
                <w:rFonts w:ascii="Tahoma" w:hAnsi="Tahoma" w:cs="Tahoma"/>
                <w:color w:val="000000"/>
                <w:sz w:val="20"/>
                <w:szCs w:val="22"/>
              </w:rPr>
            </w:pPr>
            <w:r w:rsidRPr="00112948">
              <w:rPr>
                <w:rFonts w:ascii="Tahoma" w:hAnsi="Tahoma" w:cs="Tahoma"/>
                <w:color w:val="000000"/>
                <w:sz w:val="20"/>
                <w:szCs w:val="22"/>
              </w:rPr>
              <w:t>Stanje 31.12.2022.</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A9347F" w:rsidRPr="00112948" w:rsidRDefault="00A9347F" w:rsidP="00133B39">
            <w:pPr>
              <w:rPr>
                <w:rFonts w:ascii="Tahoma" w:hAnsi="Tahoma" w:cs="Tahoma"/>
                <w:color w:val="000000"/>
                <w:sz w:val="20"/>
                <w:szCs w:val="22"/>
              </w:rPr>
            </w:pPr>
            <w:r w:rsidRPr="00112948">
              <w:rPr>
                <w:rFonts w:ascii="Tahoma" w:hAnsi="Tahoma" w:cs="Tahoma"/>
                <w:color w:val="000000"/>
                <w:sz w:val="20"/>
                <w:szCs w:val="22"/>
              </w:rPr>
              <w:t>Stanje 31.12.2023.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A9347F" w:rsidRPr="00112948" w:rsidRDefault="00A9347F" w:rsidP="00133B39">
            <w:pPr>
              <w:rPr>
                <w:rFonts w:ascii="Tahoma" w:hAnsi="Tahoma" w:cs="Tahoma"/>
                <w:color w:val="000000"/>
                <w:sz w:val="20"/>
                <w:szCs w:val="22"/>
              </w:rPr>
            </w:pPr>
            <w:r w:rsidRPr="00112948">
              <w:rPr>
                <w:rFonts w:ascii="Tahoma" w:hAnsi="Tahoma" w:cs="Tahoma"/>
                <w:color w:val="000000"/>
                <w:sz w:val="20"/>
                <w:szCs w:val="22"/>
              </w:rPr>
              <w:t>Indeks</w:t>
            </w:r>
          </w:p>
        </w:tc>
      </w:tr>
      <w:tr w:rsidR="00A9347F" w:rsidRPr="00112948" w:rsidTr="00133B39">
        <w:trPr>
          <w:trHeight w:val="315"/>
          <w:jc w:val="center"/>
        </w:trPr>
        <w:tc>
          <w:tcPr>
            <w:tcW w:w="4678" w:type="dxa"/>
            <w:tcBorders>
              <w:top w:val="nil"/>
              <w:left w:val="single" w:sz="8" w:space="0" w:color="auto"/>
              <w:bottom w:val="single" w:sz="8" w:space="0" w:color="auto"/>
              <w:right w:val="single" w:sz="8" w:space="0" w:color="auto"/>
            </w:tcBorders>
            <w:shd w:val="clear" w:color="auto" w:fill="auto"/>
            <w:noWrap/>
            <w:vAlign w:val="center"/>
            <w:hideMark/>
          </w:tcPr>
          <w:p w:rsidR="00A9347F" w:rsidRPr="00112948" w:rsidRDefault="00A9347F" w:rsidP="00133B39">
            <w:pPr>
              <w:rPr>
                <w:rFonts w:ascii="Tahoma" w:hAnsi="Tahoma" w:cs="Tahoma"/>
                <w:color w:val="000000"/>
                <w:sz w:val="20"/>
                <w:szCs w:val="22"/>
              </w:rPr>
            </w:pPr>
            <w:r w:rsidRPr="00112948">
              <w:rPr>
                <w:rFonts w:ascii="Tahoma" w:hAnsi="Tahoma" w:cs="Tahoma"/>
                <w:color w:val="000000"/>
                <w:sz w:val="20"/>
                <w:szCs w:val="22"/>
              </w:rPr>
              <w:t xml:space="preserve">Potraživanja za participacije i dopunsko osiguranje </w:t>
            </w:r>
          </w:p>
        </w:tc>
        <w:tc>
          <w:tcPr>
            <w:tcW w:w="1701" w:type="dxa"/>
            <w:tcBorders>
              <w:top w:val="nil"/>
              <w:left w:val="nil"/>
              <w:bottom w:val="single" w:sz="8" w:space="0" w:color="auto"/>
              <w:right w:val="single" w:sz="8" w:space="0" w:color="auto"/>
            </w:tcBorders>
            <w:shd w:val="clear" w:color="auto" w:fill="auto"/>
            <w:noWrap/>
            <w:vAlign w:val="center"/>
            <w:hideMark/>
          </w:tcPr>
          <w:p w:rsidR="00A9347F" w:rsidRPr="00112948" w:rsidRDefault="00A9347F" w:rsidP="00133B39">
            <w:pPr>
              <w:jc w:val="right"/>
              <w:rPr>
                <w:rFonts w:ascii="Tahoma" w:hAnsi="Tahoma" w:cs="Tahoma"/>
                <w:color w:val="000000"/>
                <w:sz w:val="20"/>
                <w:szCs w:val="22"/>
              </w:rPr>
            </w:pPr>
            <w:r w:rsidRPr="00112948">
              <w:rPr>
                <w:rFonts w:ascii="Tahoma" w:hAnsi="Tahoma" w:cs="Tahoma"/>
                <w:color w:val="000000"/>
                <w:sz w:val="20"/>
                <w:szCs w:val="22"/>
              </w:rPr>
              <w:t>2.441.352</w:t>
            </w:r>
          </w:p>
        </w:tc>
        <w:tc>
          <w:tcPr>
            <w:tcW w:w="1701" w:type="dxa"/>
            <w:tcBorders>
              <w:top w:val="nil"/>
              <w:left w:val="nil"/>
              <w:bottom w:val="single" w:sz="8" w:space="0" w:color="auto"/>
              <w:right w:val="single" w:sz="8" w:space="0" w:color="auto"/>
            </w:tcBorders>
            <w:shd w:val="clear" w:color="auto" w:fill="auto"/>
            <w:noWrap/>
            <w:vAlign w:val="center"/>
            <w:hideMark/>
          </w:tcPr>
          <w:p w:rsidR="00A9347F" w:rsidRPr="00112948" w:rsidRDefault="00A9347F" w:rsidP="00133B39">
            <w:pPr>
              <w:jc w:val="right"/>
              <w:rPr>
                <w:rFonts w:ascii="Tahoma" w:hAnsi="Tahoma" w:cs="Tahoma"/>
                <w:color w:val="000000"/>
                <w:sz w:val="20"/>
                <w:szCs w:val="22"/>
              </w:rPr>
            </w:pPr>
            <w:r w:rsidRPr="00112948">
              <w:rPr>
                <w:rFonts w:ascii="Tahoma" w:hAnsi="Tahoma" w:cs="Tahoma"/>
                <w:color w:val="000000"/>
                <w:sz w:val="20"/>
                <w:szCs w:val="22"/>
              </w:rPr>
              <w:t>2.995.809</w:t>
            </w:r>
          </w:p>
        </w:tc>
        <w:tc>
          <w:tcPr>
            <w:tcW w:w="992" w:type="dxa"/>
            <w:tcBorders>
              <w:top w:val="nil"/>
              <w:left w:val="nil"/>
              <w:bottom w:val="single" w:sz="8" w:space="0" w:color="auto"/>
              <w:right w:val="single" w:sz="8" w:space="0" w:color="auto"/>
            </w:tcBorders>
            <w:shd w:val="clear" w:color="auto" w:fill="auto"/>
            <w:noWrap/>
            <w:vAlign w:val="center"/>
            <w:hideMark/>
          </w:tcPr>
          <w:p w:rsidR="00A9347F" w:rsidRPr="00112948" w:rsidRDefault="00A9347F" w:rsidP="00133B39">
            <w:pPr>
              <w:jc w:val="right"/>
              <w:rPr>
                <w:rFonts w:ascii="Tahoma" w:hAnsi="Tahoma" w:cs="Tahoma"/>
                <w:color w:val="000000"/>
                <w:sz w:val="20"/>
                <w:szCs w:val="22"/>
              </w:rPr>
            </w:pPr>
            <w:r w:rsidRPr="00112948">
              <w:rPr>
                <w:rFonts w:ascii="Tahoma" w:hAnsi="Tahoma" w:cs="Tahoma"/>
                <w:color w:val="000000"/>
                <w:sz w:val="20"/>
                <w:szCs w:val="22"/>
              </w:rPr>
              <w:t>122,70</w:t>
            </w:r>
          </w:p>
        </w:tc>
      </w:tr>
      <w:tr w:rsidR="00A9347F" w:rsidRPr="00112948" w:rsidTr="00133B39">
        <w:trPr>
          <w:trHeight w:val="315"/>
          <w:jc w:val="center"/>
        </w:trPr>
        <w:tc>
          <w:tcPr>
            <w:tcW w:w="4678" w:type="dxa"/>
            <w:tcBorders>
              <w:top w:val="nil"/>
              <w:left w:val="single" w:sz="8" w:space="0" w:color="auto"/>
              <w:bottom w:val="single" w:sz="8" w:space="0" w:color="auto"/>
              <w:right w:val="single" w:sz="8" w:space="0" w:color="auto"/>
            </w:tcBorders>
            <w:shd w:val="clear" w:color="auto" w:fill="auto"/>
            <w:noWrap/>
            <w:vAlign w:val="center"/>
            <w:hideMark/>
          </w:tcPr>
          <w:p w:rsidR="00A9347F" w:rsidRPr="00112948" w:rsidRDefault="00A9347F" w:rsidP="00133B39">
            <w:pPr>
              <w:rPr>
                <w:rFonts w:ascii="Tahoma" w:hAnsi="Tahoma" w:cs="Tahoma"/>
                <w:color w:val="000000"/>
                <w:sz w:val="20"/>
                <w:szCs w:val="22"/>
              </w:rPr>
            </w:pPr>
            <w:r w:rsidRPr="00112948">
              <w:rPr>
                <w:rFonts w:ascii="Tahoma" w:hAnsi="Tahoma" w:cs="Tahoma"/>
                <w:color w:val="000000"/>
                <w:sz w:val="20"/>
                <w:szCs w:val="22"/>
              </w:rPr>
              <w:t xml:space="preserve">Potraživanja za prihode ostvarene na tržištu </w:t>
            </w:r>
          </w:p>
        </w:tc>
        <w:tc>
          <w:tcPr>
            <w:tcW w:w="1701" w:type="dxa"/>
            <w:tcBorders>
              <w:top w:val="nil"/>
              <w:left w:val="nil"/>
              <w:bottom w:val="single" w:sz="8" w:space="0" w:color="auto"/>
              <w:right w:val="single" w:sz="8" w:space="0" w:color="auto"/>
            </w:tcBorders>
            <w:shd w:val="clear" w:color="auto" w:fill="auto"/>
            <w:noWrap/>
            <w:vAlign w:val="center"/>
            <w:hideMark/>
          </w:tcPr>
          <w:p w:rsidR="00A9347F" w:rsidRPr="00112948" w:rsidRDefault="00A9347F" w:rsidP="00133B39">
            <w:pPr>
              <w:jc w:val="right"/>
              <w:rPr>
                <w:rFonts w:ascii="Tahoma" w:hAnsi="Tahoma" w:cs="Tahoma"/>
                <w:color w:val="000000"/>
                <w:sz w:val="20"/>
                <w:szCs w:val="22"/>
              </w:rPr>
            </w:pPr>
            <w:r w:rsidRPr="00112948">
              <w:rPr>
                <w:rFonts w:ascii="Tahoma" w:hAnsi="Tahoma" w:cs="Tahoma"/>
                <w:color w:val="000000"/>
                <w:sz w:val="20"/>
                <w:szCs w:val="22"/>
              </w:rPr>
              <w:t>6.093.628</w:t>
            </w:r>
          </w:p>
        </w:tc>
        <w:tc>
          <w:tcPr>
            <w:tcW w:w="1701" w:type="dxa"/>
            <w:tcBorders>
              <w:top w:val="nil"/>
              <w:left w:val="nil"/>
              <w:bottom w:val="single" w:sz="8" w:space="0" w:color="auto"/>
              <w:right w:val="single" w:sz="8" w:space="0" w:color="auto"/>
            </w:tcBorders>
            <w:shd w:val="clear" w:color="auto" w:fill="auto"/>
            <w:noWrap/>
            <w:vAlign w:val="center"/>
            <w:hideMark/>
          </w:tcPr>
          <w:p w:rsidR="00A9347F" w:rsidRPr="00112948" w:rsidRDefault="00A9347F" w:rsidP="00133B39">
            <w:pPr>
              <w:jc w:val="right"/>
              <w:rPr>
                <w:rFonts w:ascii="Tahoma" w:hAnsi="Tahoma" w:cs="Tahoma"/>
                <w:color w:val="000000"/>
                <w:sz w:val="20"/>
                <w:szCs w:val="22"/>
              </w:rPr>
            </w:pPr>
            <w:r w:rsidRPr="00112948">
              <w:rPr>
                <w:rFonts w:ascii="Tahoma" w:hAnsi="Tahoma" w:cs="Tahoma"/>
                <w:color w:val="000000"/>
                <w:sz w:val="20"/>
                <w:szCs w:val="22"/>
              </w:rPr>
              <w:t>6.140.793</w:t>
            </w:r>
          </w:p>
        </w:tc>
        <w:tc>
          <w:tcPr>
            <w:tcW w:w="992" w:type="dxa"/>
            <w:tcBorders>
              <w:top w:val="nil"/>
              <w:left w:val="nil"/>
              <w:bottom w:val="single" w:sz="8" w:space="0" w:color="auto"/>
              <w:right w:val="single" w:sz="8" w:space="0" w:color="auto"/>
            </w:tcBorders>
            <w:shd w:val="clear" w:color="auto" w:fill="auto"/>
            <w:noWrap/>
            <w:vAlign w:val="center"/>
            <w:hideMark/>
          </w:tcPr>
          <w:p w:rsidR="00A9347F" w:rsidRPr="00112948" w:rsidRDefault="00A9347F" w:rsidP="00133B39">
            <w:pPr>
              <w:jc w:val="right"/>
              <w:rPr>
                <w:rFonts w:ascii="Tahoma" w:hAnsi="Tahoma" w:cs="Tahoma"/>
                <w:color w:val="000000"/>
                <w:sz w:val="20"/>
                <w:szCs w:val="22"/>
              </w:rPr>
            </w:pPr>
            <w:r w:rsidRPr="00112948">
              <w:rPr>
                <w:rFonts w:ascii="Tahoma" w:hAnsi="Tahoma" w:cs="Tahoma"/>
                <w:color w:val="000000"/>
                <w:sz w:val="20"/>
                <w:szCs w:val="22"/>
              </w:rPr>
              <w:t>100,80</w:t>
            </w:r>
          </w:p>
        </w:tc>
      </w:tr>
      <w:tr w:rsidR="00A9347F" w:rsidRPr="00112948" w:rsidTr="00133B39">
        <w:trPr>
          <w:trHeight w:val="315"/>
          <w:jc w:val="center"/>
        </w:trPr>
        <w:tc>
          <w:tcPr>
            <w:tcW w:w="4678" w:type="dxa"/>
            <w:tcBorders>
              <w:top w:val="nil"/>
              <w:left w:val="single" w:sz="8" w:space="0" w:color="auto"/>
              <w:bottom w:val="single" w:sz="8" w:space="0" w:color="auto"/>
              <w:right w:val="single" w:sz="8" w:space="0" w:color="auto"/>
            </w:tcBorders>
            <w:shd w:val="clear" w:color="auto" w:fill="auto"/>
            <w:noWrap/>
            <w:vAlign w:val="center"/>
            <w:hideMark/>
          </w:tcPr>
          <w:p w:rsidR="00A9347F" w:rsidRPr="00112948" w:rsidRDefault="00A9347F" w:rsidP="00133B39">
            <w:pPr>
              <w:rPr>
                <w:rFonts w:ascii="Tahoma" w:hAnsi="Tahoma" w:cs="Tahoma"/>
                <w:color w:val="000000"/>
                <w:sz w:val="20"/>
                <w:szCs w:val="22"/>
              </w:rPr>
            </w:pPr>
            <w:r w:rsidRPr="00112948">
              <w:rPr>
                <w:rFonts w:ascii="Tahoma" w:hAnsi="Tahoma" w:cs="Tahoma"/>
                <w:color w:val="000000"/>
                <w:sz w:val="20"/>
                <w:szCs w:val="22"/>
              </w:rPr>
              <w:t xml:space="preserve">Potraživanja </w:t>
            </w:r>
            <w:proofErr w:type="spellStart"/>
            <w:r w:rsidR="003136DC" w:rsidRPr="00112948">
              <w:rPr>
                <w:rFonts w:ascii="Tahoma" w:hAnsi="Tahoma" w:cs="Tahoma"/>
                <w:color w:val="000000"/>
                <w:sz w:val="20"/>
                <w:szCs w:val="22"/>
              </w:rPr>
              <w:t>pror</w:t>
            </w:r>
            <w:proofErr w:type="spellEnd"/>
            <w:r w:rsidR="003136DC" w:rsidRPr="00112948">
              <w:rPr>
                <w:rFonts w:ascii="Tahoma" w:hAnsi="Tahoma" w:cs="Tahoma"/>
                <w:color w:val="000000"/>
                <w:sz w:val="20"/>
                <w:szCs w:val="22"/>
              </w:rPr>
              <w:t xml:space="preserve">. korisnika za sredstva uplaćena u proračun i za prihode </w:t>
            </w:r>
            <w:r w:rsidRPr="00112948">
              <w:rPr>
                <w:rFonts w:ascii="Tahoma" w:hAnsi="Tahoma" w:cs="Tahoma"/>
                <w:color w:val="000000"/>
                <w:sz w:val="20"/>
                <w:szCs w:val="22"/>
              </w:rPr>
              <w:t>od HZZO na temelju ugovornih obveza</w:t>
            </w:r>
          </w:p>
        </w:tc>
        <w:tc>
          <w:tcPr>
            <w:tcW w:w="1701" w:type="dxa"/>
            <w:tcBorders>
              <w:top w:val="nil"/>
              <w:left w:val="nil"/>
              <w:bottom w:val="single" w:sz="8" w:space="0" w:color="auto"/>
              <w:right w:val="single" w:sz="8" w:space="0" w:color="auto"/>
            </w:tcBorders>
            <w:shd w:val="clear" w:color="auto" w:fill="auto"/>
            <w:noWrap/>
            <w:vAlign w:val="center"/>
            <w:hideMark/>
          </w:tcPr>
          <w:p w:rsidR="00A9347F" w:rsidRPr="00112948" w:rsidRDefault="004E23FB" w:rsidP="004E23FB">
            <w:pPr>
              <w:jc w:val="right"/>
              <w:rPr>
                <w:rFonts w:ascii="Tahoma" w:hAnsi="Tahoma" w:cs="Tahoma"/>
                <w:color w:val="000000"/>
                <w:sz w:val="20"/>
                <w:szCs w:val="22"/>
              </w:rPr>
            </w:pPr>
            <w:r w:rsidRPr="00112948">
              <w:rPr>
                <w:rFonts w:ascii="Tahoma" w:hAnsi="Tahoma" w:cs="Tahoma"/>
                <w:color w:val="000000"/>
                <w:sz w:val="20"/>
                <w:szCs w:val="22"/>
              </w:rPr>
              <w:t>97</w:t>
            </w:r>
            <w:r w:rsidR="00A9347F" w:rsidRPr="00112948">
              <w:rPr>
                <w:rFonts w:ascii="Tahoma" w:hAnsi="Tahoma" w:cs="Tahoma"/>
                <w:color w:val="000000"/>
                <w:sz w:val="20"/>
                <w:szCs w:val="22"/>
              </w:rPr>
              <w:t>.</w:t>
            </w:r>
            <w:r w:rsidRPr="00112948">
              <w:rPr>
                <w:rFonts w:ascii="Tahoma" w:hAnsi="Tahoma" w:cs="Tahoma"/>
                <w:color w:val="000000"/>
                <w:sz w:val="20"/>
                <w:szCs w:val="22"/>
              </w:rPr>
              <w:t>927</w:t>
            </w:r>
            <w:r w:rsidR="00A9347F" w:rsidRPr="00112948">
              <w:rPr>
                <w:rFonts w:ascii="Tahoma" w:hAnsi="Tahoma" w:cs="Tahoma"/>
                <w:color w:val="000000"/>
                <w:sz w:val="20"/>
                <w:szCs w:val="22"/>
              </w:rPr>
              <w:t>.</w:t>
            </w:r>
            <w:r w:rsidRPr="00112948">
              <w:rPr>
                <w:rFonts w:ascii="Tahoma" w:hAnsi="Tahoma" w:cs="Tahoma"/>
                <w:color w:val="000000"/>
                <w:sz w:val="20"/>
                <w:szCs w:val="22"/>
              </w:rPr>
              <w:t>1</w:t>
            </w:r>
            <w:r w:rsidR="005B7615" w:rsidRPr="00112948">
              <w:rPr>
                <w:rFonts w:ascii="Tahoma" w:hAnsi="Tahoma" w:cs="Tahoma"/>
                <w:color w:val="000000"/>
                <w:sz w:val="20"/>
                <w:szCs w:val="22"/>
              </w:rPr>
              <w:t>30</w:t>
            </w:r>
          </w:p>
        </w:tc>
        <w:tc>
          <w:tcPr>
            <w:tcW w:w="1701" w:type="dxa"/>
            <w:tcBorders>
              <w:top w:val="nil"/>
              <w:left w:val="nil"/>
              <w:bottom w:val="single" w:sz="8" w:space="0" w:color="auto"/>
              <w:right w:val="single" w:sz="8" w:space="0" w:color="auto"/>
            </w:tcBorders>
            <w:shd w:val="clear" w:color="auto" w:fill="auto"/>
            <w:noWrap/>
            <w:vAlign w:val="center"/>
            <w:hideMark/>
          </w:tcPr>
          <w:p w:rsidR="00A9347F" w:rsidRPr="00112948" w:rsidRDefault="004E23FB" w:rsidP="004E23FB">
            <w:pPr>
              <w:jc w:val="right"/>
              <w:rPr>
                <w:rFonts w:ascii="Tahoma" w:hAnsi="Tahoma" w:cs="Tahoma"/>
                <w:color w:val="000000"/>
                <w:sz w:val="20"/>
                <w:szCs w:val="22"/>
              </w:rPr>
            </w:pPr>
            <w:r w:rsidRPr="00112948">
              <w:rPr>
                <w:rFonts w:ascii="Tahoma" w:hAnsi="Tahoma" w:cs="Tahoma"/>
                <w:color w:val="000000"/>
                <w:sz w:val="20"/>
                <w:szCs w:val="22"/>
              </w:rPr>
              <w:t>97</w:t>
            </w:r>
            <w:r w:rsidR="00A9347F" w:rsidRPr="00112948">
              <w:rPr>
                <w:rFonts w:ascii="Tahoma" w:hAnsi="Tahoma" w:cs="Tahoma"/>
                <w:color w:val="000000"/>
                <w:sz w:val="20"/>
                <w:szCs w:val="22"/>
              </w:rPr>
              <w:t>.</w:t>
            </w:r>
            <w:r w:rsidRPr="00112948">
              <w:rPr>
                <w:rFonts w:ascii="Tahoma" w:hAnsi="Tahoma" w:cs="Tahoma"/>
                <w:color w:val="000000"/>
                <w:sz w:val="20"/>
                <w:szCs w:val="22"/>
              </w:rPr>
              <w:t>687</w:t>
            </w:r>
            <w:r w:rsidR="00A9347F" w:rsidRPr="00112948">
              <w:rPr>
                <w:rFonts w:ascii="Tahoma" w:hAnsi="Tahoma" w:cs="Tahoma"/>
                <w:color w:val="000000"/>
                <w:sz w:val="20"/>
                <w:szCs w:val="22"/>
              </w:rPr>
              <w:t>.</w:t>
            </w:r>
            <w:r w:rsidRPr="00112948">
              <w:rPr>
                <w:rFonts w:ascii="Tahoma" w:hAnsi="Tahoma" w:cs="Tahoma"/>
                <w:color w:val="000000"/>
                <w:sz w:val="20"/>
                <w:szCs w:val="22"/>
              </w:rPr>
              <w:t>87</w:t>
            </w:r>
            <w:r w:rsidR="005B7615" w:rsidRPr="00112948">
              <w:rPr>
                <w:rFonts w:ascii="Tahoma" w:hAnsi="Tahoma" w:cs="Tahoma"/>
                <w:color w:val="000000"/>
                <w:sz w:val="20"/>
                <w:szCs w:val="22"/>
              </w:rPr>
              <w:t>5</w:t>
            </w:r>
          </w:p>
        </w:tc>
        <w:tc>
          <w:tcPr>
            <w:tcW w:w="992" w:type="dxa"/>
            <w:tcBorders>
              <w:top w:val="nil"/>
              <w:left w:val="nil"/>
              <w:bottom w:val="single" w:sz="8" w:space="0" w:color="auto"/>
              <w:right w:val="single" w:sz="8" w:space="0" w:color="auto"/>
            </w:tcBorders>
            <w:shd w:val="clear" w:color="auto" w:fill="auto"/>
            <w:noWrap/>
            <w:vAlign w:val="center"/>
            <w:hideMark/>
          </w:tcPr>
          <w:p w:rsidR="00A9347F" w:rsidRPr="00112948" w:rsidRDefault="005B7615" w:rsidP="005B7615">
            <w:pPr>
              <w:jc w:val="right"/>
              <w:rPr>
                <w:rFonts w:ascii="Tahoma" w:hAnsi="Tahoma" w:cs="Tahoma"/>
                <w:color w:val="000000"/>
                <w:sz w:val="20"/>
                <w:szCs w:val="22"/>
              </w:rPr>
            </w:pPr>
            <w:r w:rsidRPr="00112948">
              <w:rPr>
                <w:rFonts w:ascii="Tahoma" w:hAnsi="Tahoma" w:cs="Tahoma"/>
                <w:color w:val="000000"/>
                <w:sz w:val="20"/>
                <w:szCs w:val="22"/>
              </w:rPr>
              <w:t>99,8</w:t>
            </w:r>
          </w:p>
        </w:tc>
      </w:tr>
      <w:tr w:rsidR="00A9347F" w:rsidRPr="00112948" w:rsidTr="00133B39">
        <w:trPr>
          <w:trHeight w:val="315"/>
          <w:jc w:val="center"/>
        </w:trPr>
        <w:tc>
          <w:tcPr>
            <w:tcW w:w="4678" w:type="dxa"/>
            <w:tcBorders>
              <w:top w:val="nil"/>
              <w:left w:val="single" w:sz="8" w:space="0" w:color="auto"/>
              <w:bottom w:val="single" w:sz="8" w:space="0" w:color="auto"/>
              <w:right w:val="single" w:sz="8" w:space="0" w:color="auto"/>
            </w:tcBorders>
            <w:shd w:val="clear" w:color="auto" w:fill="auto"/>
            <w:noWrap/>
            <w:vAlign w:val="center"/>
            <w:hideMark/>
          </w:tcPr>
          <w:p w:rsidR="00A9347F" w:rsidRPr="00112948" w:rsidRDefault="00A9347F" w:rsidP="00133B39">
            <w:pPr>
              <w:rPr>
                <w:rFonts w:ascii="Tahoma" w:hAnsi="Tahoma" w:cs="Tahoma"/>
                <w:color w:val="000000"/>
                <w:sz w:val="20"/>
                <w:szCs w:val="22"/>
              </w:rPr>
            </w:pPr>
            <w:r w:rsidRPr="00112948">
              <w:rPr>
                <w:rFonts w:ascii="Tahoma" w:hAnsi="Tahoma" w:cs="Tahoma"/>
                <w:color w:val="000000"/>
                <w:sz w:val="20"/>
                <w:szCs w:val="22"/>
              </w:rPr>
              <w:t>Potraživanja za ostale prihode</w:t>
            </w:r>
          </w:p>
        </w:tc>
        <w:tc>
          <w:tcPr>
            <w:tcW w:w="1701" w:type="dxa"/>
            <w:tcBorders>
              <w:top w:val="nil"/>
              <w:left w:val="nil"/>
              <w:bottom w:val="single" w:sz="8" w:space="0" w:color="auto"/>
              <w:right w:val="single" w:sz="8" w:space="0" w:color="auto"/>
            </w:tcBorders>
            <w:shd w:val="clear" w:color="auto" w:fill="auto"/>
            <w:noWrap/>
            <w:vAlign w:val="center"/>
            <w:hideMark/>
          </w:tcPr>
          <w:p w:rsidR="00A9347F" w:rsidRPr="00112948" w:rsidRDefault="00A9347F" w:rsidP="00133B39">
            <w:pPr>
              <w:jc w:val="right"/>
              <w:rPr>
                <w:rFonts w:ascii="Tahoma" w:hAnsi="Tahoma" w:cs="Tahoma"/>
                <w:color w:val="000000"/>
                <w:sz w:val="20"/>
                <w:szCs w:val="22"/>
              </w:rPr>
            </w:pPr>
            <w:r w:rsidRPr="00112948">
              <w:rPr>
                <w:rFonts w:ascii="Tahoma" w:hAnsi="Tahoma" w:cs="Tahoma"/>
                <w:color w:val="000000"/>
                <w:sz w:val="20"/>
                <w:szCs w:val="22"/>
              </w:rPr>
              <w:t>8.477</w:t>
            </w:r>
          </w:p>
        </w:tc>
        <w:tc>
          <w:tcPr>
            <w:tcW w:w="1701" w:type="dxa"/>
            <w:tcBorders>
              <w:top w:val="nil"/>
              <w:left w:val="nil"/>
              <w:bottom w:val="single" w:sz="8" w:space="0" w:color="auto"/>
              <w:right w:val="single" w:sz="8" w:space="0" w:color="auto"/>
            </w:tcBorders>
            <w:shd w:val="clear" w:color="auto" w:fill="auto"/>
            <w:noWrap/>
            <w:vAlign w:val="center"/>
            <w:hideMark/>
          </w:tcPr>
          <w:p w:rsidR="00A9347F" w:rsidRPr="00112948" w:rsidRDefault="00A9347F" w:rsidP="00133B39">
            <w:pPr>
              <w:jc w:val="right"/>
              <w:rPr>
                <w:rFonts w:ascii="Tahoma" w:hAnsi="Tahoma" w:cs="Tahoma"/>
                <w:color w:val="000000"/>
                <w:sz w:val="20"/>
                <w:szCs w:val="22"/>
              </w:rPr>
            </w:pPr>
            <w:r w:rsidRPr="00112948">
              <w:rPr>
                <w:rFonts w:ascii="Tahoma" w:hAnsi="Tahoma" w:cs="Tahoma"/>
                <w:color w:val="000000"/>
                <w:sz w:val="20"/>
                <w:szCs w:val="22"/>
              </w:rPr>
              <w:t>2.308</w:t>
            </w:r>
          </w:p>
        </w:tc>
        <w:tc>
          <w:tcPr>
            <w:tcW w:w="992" w:type="dxa"/>
            <w:tcBorders>
              <w:top w:val="nil"/>
              <w:left w:val="nil"/>
              <w:bottom w:val="single" w:sz="8" w:space="0" w:color="auto"/>
              <w:right w:val="single" w:sz="8" w:space="0" w:color="auto"/>
            </w:tcBorders>
            <w:shd w:val="clear" w:color="auto" w:fill="auto"/>
            <w:noWrap/>
            <w:vAlign w:val="center"/>
            <w:hideMark/>
          </w:tcPr>
          <w:p w:rsidR="00A9347F" w:rsidRPr="00112948" w:rsidRDefault="00A9347F" w:rsidP="00133B39">
            <w:pPr>
              <w:jc w:val="right"/>
              <w:rPr>
                <w:rFonts w:ascii="Tahoma" w:hAnsi="Tahoma" w:cs="Tahoma"/>
                <w:color w:val="000000"/>
                <w:sz w:val="20"/>
                <w:szCs w:val="22"/>
              </w:rPr>
            </w:pPr>
            <w:r w:rsidRPr="00112948">
              <w:rPr>
                <w:rFonts w:ascii="Tahoma" w:hAnsi="Tahoma" w:cs="Tahoma"/>
                <w:color w:val="000000"/>
                <w:sz w:val="20"/>
                <w:szCs w:val="22"/>
              </w:rPr>
              <w:t>27,20</w:t>
            </w:r>
          </w:p>
        </w:tc>
      </w:tr>
      <w:tr w:rsidR="00A9347F" w:rsidRPr="00112948" w:rsidTr="00133B39">
        <w:trPr>
          <w:trHeight w:val="315"/>
          <w:jc w:val="center"/>
        </w:trPr>
        <w:tc>
          <w:tcPr>
            <w:tcW w:w="4678" w:type="dxa"/>
            <w:tcBorders>
              <w:top w:val="nil"/>
              <w:left w:val="single" w:sz="8" w:space="0" w:color="auto"/>
              <w:bottom w:val="single" w:sz="8" w:space="0" w:color="auto"/>
              <w:right w:val="single" w:sz="8" w:space="0" w:color="auto"/>
            </w:tcBorders>
            <w:shd w:val="clear" w:color="auto" w:fill="auto"/>
            <w:noWrap/>
            <w:vAlign w:val="center"/>
            <w:hideMark/>
          </w:tcPr>
          <w:p w:rsidR="00A9347F" w:rsidRPr="00112948" w:rsidRDefault="00A9347F" w:rsidP="00133B39">
            <w:pPr>
              <w:rPr>
                <w:rFonts w:ascii="Tahoma" w:hAnsi="Tahoma" w:cs="Tahoma"/>
                <w:color w:val="000000"/>
                <w:sz w:val="20"/>
                <w:szCs w:val="22"/>
              </w:rPr>
            </w:pPr>
            <w:r w:rsidRPr="00112948">
              <w:rPr>
                <w:rFonts w:ascii="Tahoma" w:hAnsi="Tahoma" w:cs="Tahoma"/>
                <w:color w:val="000000"/>
                <w:sz w:val="20"/>
                <w:szCs w:val="22"/>
              </w:rPr>
              <w:t>Ispravak vrijednosti potraživanja</w:t>
            </w:r>
          </w:p>
        </w:tc>
        <w:tc>
          <w:tcPr>
            <w:tcW w:w="1701" w:type="dxa"/>
            <w:tcBorders>
              <w:top w:val="nil"/>
              <w:left w:val="nil"/>
              <w:bottom w:val="single" w:sz="8" w:space="0" w:color="auto"/>
              <w:right w:val="single" w:sz="8" w:space="0" w:color="auto"/>
            </w:tcBorders>
            <w:shd w:val="clear" w:color="auto" w:fill="auto"/>
            <w:noWrap/>
            <w:vAlign w:val="center"/>
            <w:hideMark/>
          </w:tcPr>
          <w:p w:rsidR="00A9347F" w:rsidRPr="00112948" w:rsidRDefault="00A9347F" w:rsidP="00133B39">
            <w:pPr>
              <w:jc w:val="right"/>
              <w:rPr>
                <w:rFonts w:ascii="Tahoma" w:hAnsi="Tahoma" w:cs="Tahoma"/>
                <w:color w:val="000000"/>
                <w:sz w:val="20"/>
                <w:szCs w:val="22"/>
              </w:rPr>
            </w:pPr>
            <w:r w:rsidRPr="00112948">
              <w:rPr>
                <w:rFonts w:ascii="Tahoma" w:hAnsi="Tahoma" w:cs="Tahoma"/>
                <w:color w:val="000000"/>
                <w:sz w:val="20"/>
                <w:szCs w:val="22"/>
              </w:rPr>
              <w:t>51.126.661</w:t>
            </w:r>
          </w:p>
        </w:tc>
        <w:tc>
          <w:tcPr>
            <w:tcW w:w="1701" w:type="dxa"/>
            <w:tcBorders>
              <w:top w:val="nil"/>
              <w:left w:val="nil"/>
              <w:bottom w:val="single" w:sz="8" w:space="0" w:color="auto"/>
              <w:right w:val="single" w:sz="8" w:space="0" w:color="auto"/>
            </w:tcBorders>
            <w:shd w:val="clear" w:color="auto" w:fill="auto"/>
            <w:noWrap/>
            <w:vAlign w:val="center"/>
            <w:hideMark/>
          </w:tcPr>
          <w:p w:rsidR="00A9347F" w:rsidRPr="00112948" w:rsidRDefault="00A9347F" w:rsidP="00133B39">
            <w:pPr>
              <w:jc w:val="right"/>
              <w:rPr>
                <w:rFonts w:ascii="Tahoma" w:hAnsi="Tahoma" w:cs="Tahoma"/>
                <w:color w:val="000000"/>
                <w:sz w:val="20"/>
                <w:szCs w:val="22"/>
              </w:rPr>
            </w:pPr>
            <w:r w:rsidRPr="00112948">
              <w:rPr>
                <w:rFonts w:ascii="Tahoma" w:hAnsi="Tahoma" w:cs="Tahoma"/>
                <w:color w:val="000000"/>
                <w:sz w:val="20"/>
                <w:szCs w:val="22"/>
              </w:rPr>
              <w:t>51.958.811</w:t>
            </w:r>
          </w:p>
        </w:tc>
        <w:tc>
          <w:tcPr>
            <w:tcW w:w="992" w:type="dxa"/>
            <w:tcBorders>
              <w:top w:val="nil"/>
              <w:left w:val="nil"/>
              <w:bottom w:val="single" w:sz="8" w:space="0" w:color="auto"/>
              <w:right w:val="single" w:sz="8" w:space="0" w:color="auto"/>
            </w:tcBorders>
            <w:shd w:val="clear" w:color="auto" w:fill="auto"/>
            <w:noWrap/>
            <w:vAlign w:val="center"/>
            <w:hideMark/>
          </w:tcPr>
          <w:p w:rsidR="00A9347F" w:rsidRPr="00112948" w:rsidRDefault="00A9347F" w:rsidP="00133B39">
            <w:pPr>
              <w:jc w:val="right"/>
              <w:rPr>
                <w:rFonts w:ascii="Tahoma" w:hAnsi="Tahoma" w:cs="Tahoma"/>
                <w:color w:val="000000"/>
                <w:sz w:val="20"/>
                <w:szCs w:val="22"/>
              </w:rPr>
            </w:pPr>
            <w:r w:rsidRPr="00112948">
              <w:rPr>
                <w:rFonts w:ascii="Tahoma" w:hAnsi="Tahoma" w:cs="Tahoma"/>
                <w:color w:val="000000"/>
                <w:sz w:val="20"/>
                <w:szCs w:val="22"/>
              </w:rPr>
              <w:t>99,70</w:t>
            </w:r>
          </w:p>
        </w:tc>
      </w:tr>
      <w:tr w:rsidR="00A9347F" w:rsidRPr="00112948" w:rsidTr="00133B39">
        <w:trPr>
          <w:trHeight w:val="315"/>
          <w:jc w:val="center"/>
        </w:trPr>
        <w:tc>
          <w:tcPr>
            <w:tcW w:w="4678" w:type="dxa"/>
            <w:tcBorders>
              <w:top w:val="nil"/>
              <w:left w:val="single" w:sz="8" w:space="0" w:color="auto"/>
              <w:bottom w:val="single" w:sz="8" w:space="0" w:color="auto"/>
              <w:right w:val="single" w:sz="8" w:space="0" w:color="auto"/>
            </w:tcBorders>
            <w:shd w:val="clear" w:color="auto" w:fill="auto"/>
            <w:noWrap/>
            <w:vAlign w:val="center"/>
            <w:hideMark/>
          </w:tcPr>
          <w:p w:rsidR="00A9347F" w:rsidRPr="00112948" w:rsidRDefault="00A9347F" w:rsidP="00133B39">
            <w:pPr>
              <w:rPr>
                <w:rFonts w:ascii="Tahoma" w:hAnsi="Tahoma" w:cs="Tahoma"/>
                <w:color w:val="000000"/>
                <w:sz w:val="20"/>
                <w:szCs w:val="22"/>
              </w:rPr>
            </w:pPr>
            <w:r w:rsidRPr="00112948">
              <w:rPr>
                <w:rFonts w:ascii="Tahoma" w:hAnsi="Tahoma" w:cs="Tahoma"/>
                <w:color w:val="000000"/>
                <w:sz w:val="20"/>
                <w:szCs w:val="22"/>
              </w:rPr>
              <w:t>Sveukupno</w:t>
            </w:r>
          </w:p>
        </w:tc>
        <w:tc>
          <w:tcPr>
            <w:tcW w:w="1701" w:type="dxa"/>
            <w:tcBorders>
              <w:top w:val="nil"/>
              <w:left w:val="nil"/>
              <w:bottom w:val="single" w:sz="8" w:space="0" w:color="auto"/>
              <w:right w:val="single" w:sz="8" w:space="0" w:color="auto"/>
            </w:tcBorders>
            <w:shd w:val="clear" w:color="auto" w:fill="auto"/>
            <w:noWrap/>
            <w:vAlign w:val="center"/>
            <w:hideMark/>
          </w:tcPr>
          <w:p w:rsidR="00A9347F" w:rsidRPr="00112948" w:rsidRDefault="00A9347F" w:rsidP="00133B39">
            <w:pPr>
              <w:jc w:val="right"/>
              <w:rPr>
                <w:rFonts w:ascii="Tahoma" w:hAnsi="Tahoma" w:cs="Tahoma"/>
                <w:color w:val="000000"/>
                <w:sz w:val="20"/>
                <w:szCs w:val="22"/>
              </w:rPr>
            </w:pPr>
            <w:r w:rsidRPr="00112948">
              <w:rPr>
                <w:rFonts w:ascii="Tahoma" w:hAnsi="Tahoma" w:cs="Tahoma"/>
                <w:color w:val="000000"/>
                <w:sz w:val="20"/>
                <w:szCs w:val="22"/>
              </w:rPr>
              <w:t>54.343.926</w:t>
            </w:r>
          </w:p>
        </w:tc>
        <w:tc>
          <w:tcPr>
            <w:tcW w:w="1701" w:type="dxa"/>
            <w:tcBorders>
              <w:top w:val="nil"/>
              <w:left w:val="nil"/>
              <w:bottom w:val="single" w:sz="8" w:space="0" w:color="auto"/>
              <w:right w:val="single" w:sz="8" w:space="0" w:color="auto"/>
            </w:tcBorders>
            <w:shd w:val="clear" w:color="auto" w:fill="auto"/>
            <w:noWrap/>
            <w:vAlign w:val="center"/>
            <w:hideMark/>
          </w:tcPr>
          <w:p w:rsidR="00A9347F" w:rsidRPr="00112948" w:rsidRDefault="00A9347F" w:rsidP="00133B39">
            <w:pPr>
              <w:jc w:val="right"/>
              <w:rPr>
                <w:rFonts w:ascii="Tahoma" w:hAnsi="Tahoma" w:cs="Tahoma"/>
                <w:color w:val="000000"/>
                <w:sz w:val="20"/>
                <w:szCs w:val="22"/>
              </w:rPr>
            </w:pPr>
            <w:r w:rsidRPr="00112948">
              <w:rPr>
                <w:rFonts w:ascii="Tahoma" w:hAnsi="Tahoma" w:cs="Tahoma"/>
                <w:color w:val="000000"/>
                <w:sz w:val="20"/>
                <w:szCs w:val="22"/>
              </w:rPr>
              <w:t>54.867.974</w:t>
            </w:r>
          </w:p>
        </w:tc>
        <w:tc>
          <w:tcPr>
            <w:tcW w:w="992" w:type="dxa"/>
            <w:tcBorders>
              <w:top w:val="nil"/>
              <w:left w:val="nil"/>
              <w:bottom w:val="single" w:sz="8" w:space="0" w:color="auto"/>
              <w:right w:val="single" w:sz="8" w:space="0" w:color="auto"/>
            </w:tcBorders>
            <w:shd w:val="clear" w:color="auto" w:fill="auto"/>
            <w:noWrap/>
            <w:vAlign w:val="center"/>
            <w:hideMark/>
          </w:tcPr>
          <w:p w:rsidR="00A9347F" w:rsidRPr="00112948" w:rsidRDefault="00A9347F" w:rsidP="00133B39">
            <w:pPr>
              <w:jc w:val="right"/>
              <w:rPr>
                <w:rFonts w:ascii="Tahoma" w:hAnsi="Tahoma" w:cs="Tahoma"/>
                <w:color w:val="000000"/>
                <w:sz w:val="20"/>
                <w:szCs w:val="22"/>
              </w:rPr>
            </w:pPr>
            <w:r w:rsidRPr="00112948">
              <w:rPr>
                <w:rFonts w:ascii="Tahoma" w:hAnsi="Tahoma" w:cs="Tahoma"/>
                <w:color w:val="000000"/>
                <w:sz w:val="20"/>
                <w:szCs w:val="22"/>
              </w:rPr>
              <w:t>101,00</w:t>
            </w:r>
          </w:p>
        </w:tc>
      </w:tr>
    </w:tbl>
    <w:p w:rsidR="00A9347F" w:rsidRPr="00112948" w:rsidRDefault="00A9347F" w:rsidP="00A9347F">
      <w:pPr>
        <w:pStyle w:val="NoSpacing"/>
        <w:jc w:val="both"/>
        <w:rPr>
          <w:rFonts w:ascii="Tahoma" w:hAnsi="Tahoma" w:cs="Tahoma"/>
        </w:rPr>
      </w:pPr>
    </w:p>
    <w:p w:rsidR="00A9347F" w:rsidRPr="00112948" w:rsidRDefault="00A9347F" w:rsidP="00A9347F">
      <w:pPr>
        <w:pStyle w:val="NoSpacing"/>
        <w:jc w:val="both"/>
        <w:rPr>
          <w:rFonts w:ascii="Tahoma" w:hAnsi="Tahoma" w:cs="Tahoma"/>
        </w:rPr>
      </w:pPr>
    </w:p>
    <w:p w:rsidR="00A9347F" w:rsidRPr="00981DAF" w:rsidRDefault="00A9347F" w:rsidP="00A9347F">
      <w:pPr>
        <w:pStyle w:val="NoSpacing"/>
        <w:jc w:val="both"/>
        <w:rPr>
          <w:rFonts w:ascii="Tahoma" w:hAnsi="Tahoma" w:cs="Tahoma"/>
        </w:rPr>
      </w:pPr>
      <w:r w:rsidRPr="00112948">
        <w:rPr>
          <w:rFonts w:ascii="Tahoma" w:hAnsi="Tahoma" w:cs="Tahoma"/>
        </w:rPr>
        <w:t xml:space="preserve">Na porast potraživanja za participacije i dopunsko osiguranje najviše je utjecao porast potraživanja za dopunsko zdravstveno osiguranje HZZO-a koji je rezultat porasta cijena DTP-a i DTS-a kao i porasta broja slučajeva </w:t>
      </w:r>
      <w:r w:rsidRPr="00112948">
        <w:rPr>
          <w:rFonts w:ascii="Tahoma" w:hAnsi="Tahoma" w:cs="Tahoma"/>
          <w:color w:val="0D0D0D" w:themeColor="text1" w:themeTint="F2"/>
        </w:rPr>
        <w:t>za 66.421 u 2023</w:t>
      </w:r>
      <w:r w:rsidRPr="00112948">
        <w:rPr>
          <w:rFonts w:ascii="Tahoma" w:hAnsi="Tahoma" w:cs="Tahoma"/>
        </w:rPr>
        <w:t>. godini u odnosu na prethodnu godinu.</w:t>
      </w:r>
    </w:p>
    <w:p w:rsidR="00DF2563" w:rsidRDefault="00DF2563" w:rsidP="00F65F7B">
      <w:pPr>
        <w:pStyle w:val="NoSpacing"/>
        <w:jc w:val="both"/>
        <w:rPr>
          <w:rFonts w:ascii="Tahoma" w:hAnsi="Tahoma" w:cs="Tahoma"/>
          <w:b/>
        </w:rPr>
      </w:pPr>
    </w:p>
    <w:p w:rsidR="00F65F7B" w:rsidRPr="006F51B2" w:rsidRDefault="00F65F7B" w:rsidP="00F65F7B">
      <w:pPr>
        <w:pStyle w:val="NoSpacing"/>
        <w:jc w:val="both"/>
        <w:rPr>
          <w:rFonts w:ascii="Tahoma" w:hAnsi="Tahoma" w:cs="Tahoma"/>
          <w:b/>
        </w:rPr>
      </w:pPr>
      <w:r w:rsidRPr="006F51B2">
        <w:rPr>
          <w:rFonts w:ascii="Tahoma" w:hAnsi="Tahoma" w:cs="Tahoma"/>
          <w:b/>
        </w:rPr>
        <w:t>Obveze (</w:t>
      </w:r>
      <w:r>
        <w:rPr>
          <w:rFonts w:ascii="Tahoma" w:hAnsi="Tahoma" w:cs="Tahoma"/>
          <w:b/>
        </w:rPr>
        <w:t>Šifra 2</w:t>
      </w:r>
      <w:r w:rsidRPr="006F51B2">
        <w:rPr>
          <w:rFonts w:ascii="Tahoma" w:hAnsi="Tahoma" w:cs="Tahoma"/>
          <w:b/>
        </w:rPr>
        <w:t>)</w:t>
      </w:r>
    </w:p>
    <w:p w:rsidR="00F65F7B" w:rsidRPr="003D24FC" w:rsidRDefault="00F65F7B" w:rsidP="00F65F7B">
      <w:pPr>
        <w:pStyle w:val="NoSpacing"/>
        <w:jc w:val="both"/>
        <w:rPr>
          <w:rFonts w:ascii="Tahoma" w:hAnsi="Tahoma" w:cs="Tahoma"/>
        </w:rPr>
      </w:pPr>
    </w:p>
    <w:p w:rsidR="0082235E" w:rsidRPr="00981DAF" w:rsidRDefault="0082235E" w:rsidP="0082235E">
      <w:pPr>
        <w:pStyle w:val="NoSpacing"/>
        <w:jc w:val="both"/>
        <w:rPr>
          <w:rFonts w:ascii="Tahoma" w:hAnsi="Tahoma" w:cs="Tahoma"/>
        </w:rPr>
      </w:pPr>
      <w:r w:rsidRPr="00981DAF">
        <w:rPr>
          <w:rFonts w:ascii="Tahoma" w:hAnsi="Tahoma" w:cs="Tahoma"/>
        </w:rPr>
        <w:t>U odnosu na 31.12.2022. godine ukupne obveze su se smanjile za 10,5 % i na dan 31.12.2023. iznose 240.279.695 EUR. Struktura obveza dana je slijedećim prikazom:</w:t>
      </w:r>
    </w:p>
    <w:p w:rsidR="0082235E" w:rsidRPr="00981DAF" w:rsidRDefault="0082235E" w:rsidP="0082235E">
      <w:pPr>
        <w:pStyle w:val="NoSpacing"/>
        <w:jc w:val="both"/>
        <w:rPr>
          <w:rFonts w:ascii="Tahoma" w:hAnsi="Tahoma" w:cs="Tahoma"/>
        </w:rPr>
      </w:pPr>
    </w:p>
    <w:tbl>
      <w:tblPr>
        <w:tblW w:w="8788" w:type="dxa"/>
        <w:tblInd w:w="274" w:type="dxa"/>
        <w:tblLook w:val="04A0" w:firstRow="1" w:lastRow="0" w:firstColumn="1" w:lastColumn="0" w:noHBand="0" w:noVBand="1"/>
      </w:tblPr>
      <w:tblGrid>
        <w:gridCol w:w="3827"/>
        <w:gridCol w:w="2009"/>
        <w:gridCol w:w="1900"/>
        <w:gridCol w:w="1052"/>
      </w:tblGrid>
      <w:tr w:rsidR="0082235E" w:rsidRPr="00981DAF" w:rsidTr="004E687E">
        <w:trPr>
          <w:trHeight w:val="600"/>
        </w:trPr>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235E" w:rsidRPr="009A2136" w:rsidRDefault="0082235E" w:rsidP="004E687E">
            <w:pPr>
              <w:jc w:val="center"/>
              <w:rPr>
                <w:rFonts w:ascii="Tahoma" w:hAnsi="Tahoma" w:cs="Tahoma"/>
                <w:color w:val="000000"/>
                <w:sz w:val="22"/>
                <w:szCs w:val="22"/>
                <w:lang w:eastAsia="hr-HR"/>
              </w:rPr>
            </w:pPr>
            <w:r w:rsidRPr="009A2136">
              <w:rPr>
                <w:rFonts w:ascii="Tahoma" w:hAnsi="Tahoma" w:cs="Tahoma"/>
                <w:color w:val="000000"/>
                <w:sz w:val="22"/>
                <w:szCs w:val="22"/>
              </w:rPr>
              <w:t>Naziv pozicije</w:t>
            </w:r>
          </w:p>
        </w:tc>
        <w:tc>
          <w:tcPr>
            <w:tcW w:w="2009" w:type="dxa"/>
            <w:tcBorders>
              <w:top w:val="single" w:sz="8" w:space="0" w:color="auto"/>
              <w:left w:val="nil"/>
              <w:bottom w:val="single" w:sz="8" w:space="0" w:color="auto"/>
              <w:right w:val="single" w:sz="8" w:space="0" w:color="auto"/>
            </w:tcBorders>
            <w:shd w:val="clear" w:color="auto" w:fill="auto"/>
            <w:vAlign w:val="bottom"/>
            <w:hideMark/>
          </w:tcPr>
          <w:p w:rsidR="0082235E" w:rsidRPr="009A2136" w:rsidRDefault="0082235E" w:rsidP="004E687E">
            <w:pPr>
              <w:jc w:val="center"/>
              <w:rPr>
                <w:rFonts w:ascii="Tahoma" w:hAnsi="Tahoma" w:cs="Tahoma"/>
                <w:color w:val="000000"/>
                <w:sz w:val="22"/>
                <w:szCs w:val="22"/>
              </w:rPr>
            </w:pPr>
            <w:r w:rsidRPr="009A2136">
              <w:rPr>
                <w:rFonts w:ascii="Tahoma" w:hAnsi="Tahoma" w:cs="Tahoma"/>
                <w:color w:val="000000"/>
                <w:sz w:val="22"/>
                <w:szCs w:val="22"/>
              </w:rPr>
              <w:t>Stanje 31.12.2022.</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rsidR="0082235E" w:rsidRPr="009A2136" w:rsidRDefault="0082235E" w:rsidP="004E687E">
            <w:pPr>
              <w:jc w:val="center"/>
              <w:rPr>
                <w:rFonts w:ascii="Tahoma" w:hAnsi="Tahoma" w:cs="Tahoma"/>
                <w:color w:val="000000"/>
                <w:sz w:val="22"/>
                <w:szCs w:val="22"/>
              </w:rPr>
            </w:pPr>
            <w:r w:rsidRPr="009A2136">
              <w:rPr>
                <w:rFonts w:ascii="Tahoma" w:hAnsi="Tahoma" w:cs="Tahoma"/>
                <w:color w:val="000000"/>
                <w:sz w:val="22"/>
                <w:szCs w:val="22"/>
              </w:rPr>
              <w:t>Stanje 31.12.2023.</w:t>
            </w:r>
          </w:p>
        </w:tc>
        <w:tc>
          <w:tcPr>
            <w:tcW w:w="1052" w:type="dxa"/>
            <w:tcBorders>
              <w:top w:val="single" w:sz="8" w:space="0" w:color="auto"/>
              <w:left w:val="nil"/>
              <w:bottom w:val="single" w:sz="8" w:space="0" w:color="auto"/>
              <w:right w:val="single" w:sz="8" w:space="0" w:color="auto"/>
            </w:tcBorders>
            <w:shd w:val="clear" w:color="auto" w:fill="auto"/>
            <w:noWrap/>
            <w:vAlign w:val="bottom"/>
            <w:hideMark/>
          </w:tcPr>
          <w:p w:rsidR="0082235E" w:rsidRPr="009A2136" w:rsidRDefault="0082235E" w:rsidP="004E687E">
            <w:pPr>
              <w:jc w:val="center"/>
              <w:rPr>
                <w:rFonts w:ascii="Tahoma" w:hAnsi="Tahoma" w:cs="Tahoma"/>
                <w:color w:val="000000"/>
                <w:sz w:val="22"/>
                <w:szCs w:val="22"/>
              </w:rPr>
            </w:pPr>
            <w:r w:rsidRPr="009A2136">
              <w:rPr>
                <w:rFonts w:ascii="Tahoma" w:hAnsi="Tahoma" w:cs="Tahoma"/>
                <w:color w:val="000000"/>
                <w:sz w:val="22"/>
                <w:szCs w:val="22"/>
              </w:rPr>
              <w:t>Indeks</w:t>
            </w:r>
          </w:p>
        </w:tc>
      </w:tr>
      <w:tr w:rsidR="0082235E" w:rsidRPr="00981DAF" w:rsidTr="004E687E">
        <w:trPr>
          <w:trHeight w:val="530"/>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82235E" w:rsidRPr="009A2136" w:rsidRDefault="0082235E" w:rsidP="004E687E">
            <w:pPr>
              <w:jc w:val="both"/>
              <w:rPr>
                <w:rFonts w:ascii="Tahoma" w:hAnsi="Tahoma" w:cs="Tahoma"/>
                <w:color w:val="000000"/>
                <w:sz w:val="22"/>
                <w:szCs w:val="22"/>
              </w:rPr>
            </w:pPr>
            <w:r w:rsidRPr="009A2136">
              <w:rPr>
                <w:rFonts w:ascii="Tahoma" w:hAnsi="Tahoma" w:cs="Tahoma"/>
                <w:color w:val="000000"/>
                <w:sz w:val="22"/>
                <w:szCs w:val="22"/>
              </w:rPr>
              <w:t xml:space="preserve">Obveze za rashode poslovanja </w:t>
            </w:r>
          </w:p>
        </w:tc>
        <w:tc>
          <w:tcPr>
            <w:tcW w:w="2009" w:type="dxa"/>
            <w:tcBorders>
              <w:top w:val="nil"/>
              <w:left w:val="nil"/>
              <w:bottom w:val="single" w:sz="8" w:space="0" w:color="auto"/>
              <w:right w:val="single" w:sz="8" w:space="0" w:color="auto"/>
            </w:tcBorders>
            <w:shd w:val="clear" w:color="auto" w:fill="auto"/>
            <w:noWrap/>
            <w:vAlign w:val="center"/>
            <w:hideMark/>
          </w:tcPr>
          <w:p w:rsidR="0082235E" w:rsidRPr="009A2136" w:rsidRDefault="0082235E" w:rsidP="004E687E">
            <w:pPr>
              <w:jc w:val="right"/>
              <w:rPr>
                <w:rFonts w:ascii="Tahoma" w:hAnsi="Tahoma" w:cs="Tahoma"/>
                <w:color w:val="000000"/>
                <w:sz w:val="22"/>
                <w:szCs w:val="22"/>
              </w:rPr>
            </w:pPr>
            <w:r w:rsidRPr="009A2136">
              <w:rPr>
                <w:rFonts w:ascii="Tahoma" w:hAnsi="Tahoma" w:cs="Tahoma"/>
                <w:color w:val="000000"/>
                <w:sz w:val="22"/>
                <w:szCs w:val="22"/>
              </w:rPr>
              <w:t>228.730.061</w:t>
            </w:r>
          </w:p>
        </w:tc>
        <w:tc>
          <w:tcPr>
            <w:tcW w:w="1900"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color w:val="000000"/>
                <w:sz w:val="22"/>
                <w:szCs w:val="22"/>
              </w:rPr>
            </w:pPr>
            <w:r w:rsidRPr="009A2136">
              <w:rPr>
                <w:rFonts w:ascii="Tahoma" w:hAnsi="Tahoma" w:cs="Tahoma"/>
                <w:color w:val="000000"/>
                <w:sz w:val="22"/>
                <w:szCs w:val="22"/>
              </w:rPr>
              <w:t>217.975.108</w:t>
            </w:r>
          </w:p>
        </w:tc>
        <w:tc>
          <w:tcPr>
            <w:tcW w:w="1052"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color w:val="000000"/>
                <w:sz w:val="22"/>
                <w:szCs w:val="22"/>
              </w:rPr>
            </w:pPr>
            <w:r w:rsidRPr="009A2136">
              <w:rPr>
                <w:rFonts w:ascii="Tahoma" w:hAnsi="Tahoma" w:cs="Tahoma"/>
                <w:color w:val="000000"/>
                <w:sz w:val="22"/>
                <w:szCs w:val="22"/>
              </w:rPr>
              <w:t>95,3</w:t>
            </w:r>
          </w:p>
        </w:tc>
      </w:tr>
      <w:tr w:rsidR="0082235E" w:rsidRPr="00981DAF" w:rsidTr="004E687E">
        <w:trPr>
          <w:trHeight w:val="482"/>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82235E" w:rsidRPr="009A2136" w:rsidRDefault="0082235E" w:rsidP="004E687E">
            <w:pPr>
              <w:jc w:val="both"/>
              <w:rPr>
                <w:rFonts w:ascii="Tahoma" w:hAnsi="Tahoma" w:cs="Tahoma"/>
                <w:color w:val="000000"/>
                <w:sz w:val="22"/>
                <w:szCs w:val="22"/>
              </w:rPr>
            </w:pPr>
            <w:r w:rsidRPr="009A2136">
              <w:rPr>
                <w:rFonts w:ascii="Tahoma" w:hAnsi="Tahoma" w:cs="Tahoma"/>
                <w:color w:val="000000"/>
                <w:sz w:val="22"/>
                <w:szCs w:val="22"/>
              </w:rPr>
              <w:t>Obveze za kredite i zajmove</w:t>
            </w:r>
          </w:p>
        </w:tc>
        <w:tc>
          <w:tcPr>
            <w:tcW w:w="2009"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color w:val="000000"/>
                <w:sz w:val="22"/>
                <w:szCs w:val="22"/>
              </w:rPr>
            </w:pPr>
            <w:r w:rsidRPr="009A2136">
              <w:rPr>
                <w:rFonts w:ascii="Tahoma" w:hAnsi="Tahoma" w:cs="Tahoma"/>
                <w:color w:val="000000"/>
                <w:sz w:val="22"/>
                <w:szCs w:val="22"/>
              </w:rPr>
              <w:t>32.583.673</w:t>
            </w:r>
          </w:p>
        </w:tc>
        <w:tc>
          <w:tcPr>
            <w:tcW w:w="1900"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color w:val="000000"/>
                <w:sz w:val="22"/>
                <w:szCs w:val="22"/>
              </w:rPr>
            </w:pPr>
            <w:r w:rsidRPr="009A2136">
              <w:rPr>
                <w:rFonts w:ascii="Tahoma" w:hAnsi="Tahoma" w:cs="Tahoma"/>
                <w:color w:val="000000"/>
                <w:sz w:val="22"/>
                <w:szCs w:val="22"/>
              </w:rPr>
              <w:t>12.918.628</w:t>
            </w:r>
          </w:p>
        </w:tc>
        <w:tc>
          <w:tcPr>
            <w:tcW w:w="1052"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color w:val="000000"/>
                <w:sz w:val="22"/>
                <w:szCs w:val="22"/>
              </w:rPr>
            </w:pPr>
            <w:r w:rsidRPr="009A2136">
              <w:rPr>
                <w:rFonts w:ascii="Tahoma" w:hAnsi="Tahoma" w:cs="Tahoma"/>
                <w:color w:val="000000"/>
                <w:sz w:val="22"/>
                <w:szCs w:val="22"/>
              </w:rPr>
              <w:t>39,6</w:t>
            </w:r>
          </w:p>
        </w:tc>
      </w:tr>
      <w:tr w:rsidR="0082235E" w:rsidRPr="00981DAF" w:rsidTr="004E687E">
        <w:trPr>
          <w:trHeight w:val="600"/>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82235E" w:rsidRPr="009A2136" w:rsidRDefault="0082235E" w:rsidP="004E687E">
            <w:pPr>
              <w:jc w:val="both"/>
              <w:rPr>
                <w:rFonts w:ascii="Tahoma" w:hAnsi="Tahoma" w:cs="Tahoma"/>
                <w:color w:val="000000"/>
                <w:sz w:val="22"/>
                <w:szCs w:val="22"/>
              </w:rPr>
            </w:pPr>
            <w:r w:rsidRPr="009A2136">
              <w:rPr>
                <w:rFonts w:ascii="Tahoma" w:hAnsi="Tahoma" w:cs="Tahoma"/>
                <w:color w:val="000000"/>
                <w:sz w:val="22"/>
                <w:szCs w:val="22"/>
              </w:rPr>
              <w:t>Obveze za nabavu nefinancijske imovine</w:t>
            </w:r>
          </w:p>
        </w:tc>
        <w:tc>
          <w:tcPr>
            <w:tcW w:w="2009"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color w:val="000000"/>
                <w:sz w:val="22"/>
                <w:szCs w:val="22"/>
              </w:rPr>
            </w:pPr>
            <w:r w:rsidRPr="009A2136">
              <w:rPr>
                <w:rFonts w:ascii="Tahoma" w:hAnsi="Tahoma" w:cs="Tahoma"/>
                <w:color w:val="000000"/>
                <w:sz w:val="22"/>
                <w:szCs w:val="22"/>
              </w:rPr>
              <w:t>7.172.169</w:t>
            </w:r>
          </w:p>
        </w:tc>
        <w:tc>
          <w:tcPr>
            <w:tcW w:w="1900"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color w:val="000000"/>
                <w:sz w:val="22"/>
                <w:szCs w:val="22"/>
              </w:rPr>
            </w:pPr>
            <w:r w:rsidRPr="009A2136">
              <w:rPr>
                <w:rFonts w:ascii="Tahoma" w:hAnsi="Tahoma" w:cs="Tahoma"/>
                <w:color w:val="000000"/>
                <w:sz w:val="22"/>
                <w:szCs w:val="22"/>
              </w:rPr>
              <w:t>9.385.959</w:t>
            </w:r>
          </w:p>
        </w:tc>
        <w:tc>
          <w:tcPr>
            <w:tcW w:w="1052"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color w:val="000000"/>
                <w:sz w:val="22"/>
                <w:szCs w:val="22"/>
              </w:rPr>
            </w:pPr>
            <w:r w:rsidRPr="009A2136">
              <w:rPr>
                <w:rFonts w:ascii="Tahoma" w:hAnsi="Tahoma" w:cs="Tahoma"/>
                <w:color w:val="000000"/>
                <w:sz w:val="22"/>
                <w:szCs w:val="22"/>
              </w:rPr>
              <w:t>130,9</w:t>
            </w:r>
          </w:p>
        </w:tc>
      </w:tr>
      <w:tr w:rsidR="0082235E" w:rsidRPr="00981DAF" w:rsidTr="004E687E">
        <w:trPr>
          <w:trHeight w:val="600"/>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82235E" w:rsidRPr="009A2136" w:rsidRDefault="0082235E" w:rsidP="004E687E">
            <w:pPr>
              <w:jc w:val="both"/>
              <w:rPr>
                <w:rFonts w:ascii="Tahoma" w:hAnsi="Tahoma" w:cs="Tahoma"/>
                <w:color w:val="000000"/>
                <w:sz w:val="22"/>
                <w:szCs w:val="22"/>
              </w:rPr>
            </w:pPr>
            <w:r w:rsidRPr="009A2136">
              <w:rPr>
                <w:rFonts w:ascii="Tahoma" w:hAnsi="Tahoma" w:cs="Tahoma"/>
                <w:color w:val="000000"/>
                <w:sz w:val="22"/>
                <w:szCs w:val="22"/>
              </w:rPr>
              <w:t xml:space="preserve">Odgođeno plaćanje rashoda i prihodi budućih razdoblja </w:t>
            </w:r>
          </w:p>
        </w:tc>
        <w:tc>
          <w:tcPr>
            <w:tcW w:w="2009"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color w:val="000000"/>
                <w:sz w:val="22"/>
                <w:szCs w:val="22"/>
              </w:rPr>
            </w:pPr>
            <w:r w:rsidRPr="009A2136">
              <w:rPr>
                <w:rFonts w:ascii="Tahoma" w:hAnsi="Tahoma" w:cs="Tahoma"/>
                <w:color w:val="000000"/>
                <w:sz w:val="22"/>
                <w:szCs w:val="22"/>
              </w:rPr>
              <w:t>697.921</w:t>
            </w:r>
          </w:p>
        </w:tc>
        <w:tc>
          <w:tcPr>
            <w:tcW w:w="1900"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color w:val="000000"/>
                <w:sz w:val="22"/>
                <w:szCs w:val="22"/>
              </w:rPr>
            </w:pPr>
            <w:r w:rsidRPr="009A2136">
              <w:rPr>
                <w:rFonts w:ascii="Tahoma" w:hAnsi="Tahoma" w:cs="Tahoma"/>
                <w:color w:val="000000"/>
                <w:sz w:val="22"/>
                <w:szCs w:val="22"/>
              </w:rPr>
              <w:t>985.301</w:t>
            </w:r>
          </w:p>
        </w:tc>
        <w:tc>
          <w:tcPr>
            <w:tcW w:w="1052"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color w:val="000000"/>
                <w:sz w:val="22"/>
                <w:szCs w:val="22"/>
              </w:rPr>
            </w:pPr>
            <w:r w:rsidRPr="009A2136">
              <w:rPr>
                <w:rFonts w:ascii="Tahoma" w:hAnsi="Tahoma" w:cs="Tahoma"/>
                <w:color w:val="000000"/>
                <w:sz w:val="22"/>
                <w:szCs w:val="22"/>
              </w:rPr>
              <w:t>141,2</w:t>
            </w:r>
          </w:p>
        </w:tc>
      </w:tr>
      <w:tr w:rsidR="0082235E" w:rsidRPr="00981DAF" w:rsidTr="004E687E">
        <w:trPr>
          <w:trHeight w:val="465"/>
        </w:trPr>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82235E" w:rsidRPr="009A2136" w:rsidRDefault="0082235E" w:rsidP="004E687E">
            <w:pPr>
              <w:jc w:val="both"/>
              <w:rPr>
                <w:rFonts w:ascii="Tahoma" w:hAnsi="Tahoma" w:cs="Tahoma"/>
                <w:b/>
                <w:bCs/>
                <w:color w:val="000000"/>
                <w:sz w:val="22"/>
                <w:szCs w:val="22"/>
              </w:rPr>
            </w:pPr>
            <w:r w:rsidRPr="009A2136">
              <w:rPr>
                <w:rFonts w:ascii="Tahoma" w:hAnsi="Tahoma" w:cs="Tahoma"/>
                <w:b/>
                <w:bCs/>
                <w:color w:val="000000"/>
                <w:sz w:val="22"/>
                <w:szCs w:val="22"/>
              </w:rPr>
              <w:t>Sveukupno</w:t>
            </w:r>
          </w:p>
        </w:tc>
        <w:tc>
          <w:tcPr>
            <w:tcW w:w="2009"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b/>
                <w:bCs/>
                <w:color w:val="000000"/>
                <w:sz w:val="22"/>
                <w:szCs w:val="22"/>
              </w:rPr>
            </w:pPr>
            <w:r w:rsidRPr="009A2136">
              <w:rPr>
                <w:rFonts w:ascii="Tahoma" w:hAnsi="Tahoma" w:cs="Tahoma"/>
                <w:b/>
                <w:bCs/>
                <w:color w:val="000000"/>
                <w:sz w:val="22"/>
                <w:szCs w:val="22"/>
              </w:rPr>
              <w:t>269.183.824</w:t>
            </w:r>
          </w:p>
        </w:tc>
        <w:tc>
          <w:tcPr>
            <w:tcW w:w="1900"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b/>
                <w:bCs/>
                <w:color w:val="000000"/>
                <w:sz w:val="22"/>
                <w:szCs w:val="22"/>
              </w:rPr>
            </w:pPr>
            <w:r w:rsidRPr="009A2136">
              <w:rPr>
                <w:rFonts w:ascii="Tahoma" w:hAnsi="Tahoma" w:cs="Tahoma"/>
                <w:b/>
                <w:bCs/>
                <w:color w:val="000000"/>
                <w:sz w:val="22"/>
                <w:szCs w:val="22"/>
              </w:rPr>
              <w:t>241.264.996</w:t>
            </w:r>
          </w:p>
        </w:tc>
        <w:tc>
          <w:tcPr>
            <w:tcW w:w="1052"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color w:val="000000"/>
                <w:sz w:val="22"/>
                <w:szCs w:val="22"/>
              </w:rPr>
            </w:pPr>
            <w:r w:rsidRPr="009A2136">
              <w:rPr>
                <w:rFonts w:ascii="Tahoma" w:hAnsi="Tahoma" w:cs="Tahoma"/>
                <w:color w:val="000000"/>
                <w:sz w:val="22"/>
                <w:szCs w:val="22"/>
              </w:rPr>
              <w:t>89,6</w:t>
            </w:r>
          </w:p>
        </w:tc>
      </w:tr>
      <w:tr w:rsidR="0082235E" w:rsidRPr="00981DAF" w:rsidTr="004E687E">
        <w:trPr>
          <w:trHeight w:val="600"/>
        </w:trPr>
        <w:tc>
          <w:tcPr>
            <w:tcW w:w="3827" w:type="dxa"/>
            <w:tcBorders>
              <w:top w:val="nil"/>
              <w:left w:val="single" w:sz="8" w:space="0" w:color="auto"/>
              <w:bottom w:val="single" w:sz="8" w:space="0" w:color="auto"/>
              <w:right w:val="single" w:sz="8" w:space="0" w:color="auto"/>
            </w:tcBorders>
            <w:shd w:val="clear" w:color="auto" w:fill="auto"/>
            <w:vAlign w:val="center"/>
            <w:hideMark/>
          </w:tcPr>
          <w:p w:rsidR="0082235E" w:rsidRPr="009A2136" w:rsidRDefault="0082235E" w:rsidP="004E687E">
            <w:pPr>
              <w:jc w:val="both"/>
              <w:rPr>
                <w:rFonts w:ascii="Tahoma" w:hAnsi="Tahoma" w:cs="Tahoma"/>
                <w:color w:val="000000"/>
                <w:sz w:val="22"/>
                <w:szCs w:val="22"/>
              </w:rPr>
            </w:pPr>
            <w:r w:rsidRPr="009A2136">
              <w:rPr>
                <w:rFonts w:ascii="Tahoma" w:hAnsi="Tahoma" w:cs="Tahoma"/>
                <w:color w:val="000000"/>
                <w:sz w:val="22"/>
                <w:szCs w:val="22"/>
              </w:rPr>
              <w:t>Obveze bez odgođenog plaćanja rashoda i prihoda budućih razdoblja</w:t>
            </w:r>
          </w:p>
        </w:tc>
        <w:tc>
          <w:tcPr>
            <w:tcW w:w="2009"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color w:val="000000"/>
                <w:sz w:val="22"/>
                <w:szCs w:val="22"/>
              </w:rPr>
            </w:pPr>
            <w:r w:rsidRPr="009A2136">
              <w:rPr>
                <w:rFonts w:ascii="Tahoma" w:hAnsi="Tahoma" w:cs="Tahoma"/>
                <w:color w:val="000000"/>
                <w:sz w:val="22"/>
                <w:szCs w:val="22"/>
              </w:rPr>
              <w:t>268.485.903</w:t>
            </w:r>
          </w:p>
        </w:tc>
        <w:tc>
          <w:tcPr>
            <w:tcW w:w="1900"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color w:val="000000"/>
                <w:sz w:val="22"/>
                <w:szCs w:val="22"/>
              </w:rPr>
            </w:pPr>
            <w:r w:rsidRPr="009A2136">
              <w:rPr>
                <w:rFonts w:ascii="Tahoma" w:hAnsi="Tahoma" w:cs="Tahoma"/>
                <w:color w:val="000000"/>
                <w:sz w:val="22"/>
                <w:szCs w:val="22"/>
              </w:rPr>
              <w:t>240.279.695</w:t>
            </w:r>
          </w:p>
        </w:tc>
        <w:tc>
          <w:tcPr>
            <w:tcW w:w="1052" w:type="dxa"/>
            <w:tcBorders>
              <w:top w:val="nil"/>
              <w:left w:val="nil"/>
              <w:bottom w:val="single" w:sz="8" w:space="0" w:color="auto"/>
              <w:right w:val="single" w:sz="8" w:space="0" w:color="auto"/>
            </w:tcBorders>
            <w:shd w:val="clear" w:color="auto" w:fill="auto"/>
            <w:noWrap/>
            <w:vAlign w:val="center"/>
          </w:tcPr>
          <w:p w:rsidR="0082235E" w:rsidRPr="009A2136" w:rsidRDefault="0082235E" w:rsidP="004E687E">
            <w:pPr>
              <w:jc w:val="right"/>
              <w:rPr>
                <w:rFonts w:ascii="Tahoma" w:hAnsi="Tahoma" w:cs="Tahoma"/>
                <w:color w:val="000000"/>
                <w:sz w:val="22"/>
                <w:szCs w:val="22"/>
              </w:rPr>
            </w:pPr>
            <w:r w:rsidRPr="009A2136">
              <w:rPr>
                <w:rFonts w:ascii="Tahoma" w:hAnsi="Tahoma" w:cs="Tahoma"/>
                <w:color w:val="000000"/>
                <w:sz w:val="22"/>
                <w:szCs w:val="22"/>
              </w:rPr>
              <w:t>89,5</w:t>
            </w:r>
          </w:p>
        </w:tc>
      </w:tr>
    </w:tbl>
    <w:p w:rsidR="0082235E" w:rsidRPr="00981DAF" w:rsidRDefault="0082235E" w:rsidP="0082235E">
      <w:pPr>
        <w:pStyle w:val="NoSpacing"/>
        <w:jc w:val="both"/>
        <w:rPr>
          <w:rFonts w:ascii="Tahoma" w:hAnsi="Tahoma" w:cs="Tahoma"/>
        </w:rPr>
      </w:pPr>
    </w:p>
    <w:p w:rsidR="0082235E" w:rsidRPr="00981DAF" w:rsidRDefault="0082235E" w:rsidP="0082235E">
      <w:pPr>
        <w:pStyle w:val="NoSpacing"/>
        <w:jc w:val="both"/>
        <w:rPr>
          <w:rFonts w:ascii="Tahoma" w:hAnsi="Tahoma" w:cs="Tahoma"/>
        </w:rPr>
      </w:pPr>
      <w:r w:rsidRPr="00981DAF">
        <w:rPr>
          <w:rFonts w:ascii="Tahoma" w:hAnsi="Tahoma" w:cs="Tahoma"/>
        </w:rPr>
        <w:lastRenderedPageBreak/>
        <w:t>Od ukupno iskazanih 240.279.695 EUR obveza dospjelo je 79.947.210 EUR od čega je 44.287.883 EUR dospjelih obveza unutar godinu dana.</w:t>
      </w:r>
    </w:p>
    <w:p w:rsidR="0082235E" w:rsidRPr="00981DAF" w:rsidRDefault="0082235E" w:rsidP="0082235E">
      <w:pPr>
        <w:pStyle w:val="NoSpacing"/>
        <w:jc w:val="both"/>
        <w:rPr>
          <w:rFonts w:ascii="Tahoma" w:hAnsi="Tahoma" w:cs="Tahoma"/>
        </w:rPr>
      </w:pPr>
    </w:p>
    <w:p w:rsidR="0082235E" w:rsidRPr="00981DAF" w:rsidRDefault="0082235E" w:rsidP="0082235E">
      <w:pPr>
        <w:jc w:val="both"/>
        <w:rPr>
          <w:rFonts w:ascii="Tahoma" w:hAnsi="Tahoma" w:cs="Tahoma"/>
          <w:sz w:val="22"/>
          <w:szCs w:val="22"/>
        </w:rPr>
      </w:pPr>
      <w:r w:rsidRPr="00981DAF">
        <w:rPr>
          <w:rFonts w:ascii="Tahoma" w:hAnsi="Tahoma" w:cs="Tahoma"/>
          <w:b/>
          <w:sz w:val="22"/>
          <w:u w:val="single"/>
        </w:rPr>
        <w:t>Obveze za rashode poslovanja  (Šifra 23</w:t>
      </w:r>
      <w:r w:rsidRPr="00981DAF">
        <w:rPr>
          <w:rFonts w:ascii="Tahoma" w:hAnsi="Tahoma" w:cs="Tahoma"/>
          <w:b/>
          <w:u w:val="single"/>
        </w:rPr>
        <w:t>)</w:t>
      </w:r>
      <w:r w:rsidRPr="00981DAF">
        <w:rPr>
          <w:rFonts w:ascii="Tahoma" w:hAnsi="Tahoma" w:cs="Tahoma"/>
        </w:rPr>
        <w:t xml:space="preserve"> </w:t>
      </w:r>
      <w:r w:rsidRPr="00981DAF">
        <w:rPr>
          <w:rFonts w:ascii="Tahoma" w:hAnsi="Tahoma" w:cs="Tahoma"/>
          <w:sz w:val="22"/>
          <w:szCs w:val="22"/>
        </w:rPr>
        <w:t>na dan 31. prosinca 2023. godine iskazane su u iznosu od 217.975.108 EUR što je za 4,7% manje u odnosu na isti datum 2022. godine.</w:t>
      </w:r>
    </w:p>
    <w:p w:rsidR="0082235E" w:rsidRPr="00981DAF" w:rsidRDefault="0082235E" w:rsidP="0082235E">
      <w:pPr>
        <w:pStyle w:val="NoSpacing"/>
        <w:jc w:val="both"/>
        <w:rPr>
          <w:rFonts w:ascii="Tahoma" w:hAnsi="Tahoma" w:cs="Tahoma"/>
        </w:rPr>
      </w:pPr>
    </w:p>
    <w:p w:rsidR="0082235E" w:rsidRPr="00981DAF" w:rsidRDefault="0082235E" w:rsidP="0082235E">
      <w:pPr>
        <w:pStyle w:val="NoSpacing"/>
        <w:jc w:val="both"/>
        <w:rPr>
          <w:rFonts w:ascii="Tahoma" w:hAnsi="Tahoma" w:cs="Tahoma"/>
        </w:rPr>
      </w:pPr>
      <w:r w:rsidRPr="00981DAF">
        <w:rPr>
          <w:rFonts w:ascii="Tahoma" w:hAnsi="Tahoma" w:cs="Tahoma"/>
        </w:rPr>
        <w:t>Navedene obveze obuhvaćaju obveze za zaposlene, obveze za materijal i energiju, obveze za tekuće i investicijsko održavanje, zakupnine i režijske troškove, usluge drugih zdravstvenih ustanova, premije osiguranja, ostale usluge, obveze za financijske rashode, naknade građanima i kućanstvima kao i ostale tekuće obveze.</w:t>
      </w:r>
    </w:p>
    <w:p w:rsidR="0082235E" w:rsidRPr="00981DAF" w:rsidRDefault="0082235E" w:rsidP="0082235E">
      <w:pPr>
        <w:pStyle w:val="NoSpacing"/>
        <w:jc w:val="both"/>
        <w:rPr>
          <w:rFonts w:ascii="Tahoma" w:hAnsi="Tahoma" w:cs="Tahoma"/>
        </w:rPr>
      </w:pPr>
    </w:p>
    <w:p w:rsidR="0082235E" w:rsidRPr="00981DAF" w:rsidRDefault="0082235E" w:rsidP="0082235E">
      <w:pPr>
        <w:jc w:val="both"/>
        <w:rPr>
          <w:rFonts w:ascii="Tahoma" w:hAnsi="Tahoma" w:cs="Tahoma"/>
          <w:sz w:val="22"/>
          <w:szCs w:val="22"/>
        </w:rPr>
      </w:pPr>
      <w:r w:rsidRPr="00981DAF">
        <w:rPr>
          <w:rFonts w:ascii="Tahoma" w:hAnsi="Tahoma" w:cs="Tahoma"/>
          <w:b/>
          <w:sz w:val="22"/>
          <w:u w:val="single"/>
        </w:rPr>
        <w:t>Ostale tekuće obveze (Šifra 239</w:t>
      </w:r>
      <w:r w:rsidRPr="00981DAF">
        <w:rPr>
          <w:rFonts w:ascii="Tahoma" w:hAnsi="Tahoma" w:cs="Tahoma"/>
          <w:b/>
          <w:sz w:val="22"/>
        </w:rPr>
        <w:t xml:space="preserve">) </w:t>
      </w:r>
      <w:r w:rsidRPr="00981DAF">
        <w:rPr>
          <w:rFonts w:ascii="Tahoma" w:hAnsi="Tahoma" w:cs="Tahoma"/>
          <w:sz w:val="22"/>
          <w:szCs w:val="22"/>
        </w:rPr>
        <w:t>na dan 31. prosinca 2023. godine iskazane su u iznosu od 72.842.864 EUR što je za 16,6% manje u odnosu na isti datum 2022. godine.</w:t>
      </w:r>
    </w:p>
    <w:p w:rsidR="0082235E" w:rsidRPr="00981DAF" w:rsidRDefault="0082235E" w:rsidP="0082235E">
      <w:pPr>
        <w:pStyle w:val="NoSpacing"/>
        <w:jc w:val="both"/>
        <w:rPr>
          <w:rFonts w:ascii="Tahoma" w:hAnsi="Tahoma" w:cs="Tahoma"/>
        </w:rPr>
      </w:pPr>
    </w:p>
    <w:p w:rsidR="0082235E" w:rsidRPr="00981DAF" w:rsidRDefault="0082235E" w:rsidP="0082235E">
      <w:pPr>
        <w:pStyle w:val="NoSpacing"/>
        <w:jc w:val="both"/>
        <w:rPr>
          <w:rFonts w:ascii="Tahoma" w:hAnsi="Tahoma" w:cs="Tahoma"/>
        </w:rPr>
      </w:pPr>
      <w:r w:rsidRPr="00981DAF">
        <w:rPr>
          <w:rFonts w:ascii="Tahoma" w:hAnsi="Tahoma" w:cs="Tahoma"/>
        </w:rPr>
        <w:t>Od ukupno iskazanog iznosa na ovoj poziciji 69.726.808 EUR odnosi na primljeni predujam od HZZO na ime limita i dodatnih sredstava i manji je za 17,8% u odnosu na isti datum 2022. godine.</w:t>
      </w:r>
    </w:p>
    <w:p w:rsidR="0082235E" w:rsidRPr="00981DAF" w:rsidRDefault="0082235E" w:rsidP="0082235E">
      <w:pPr>
        <w:pStyle w:val="NoSpacing"/>
        <w:jc w:val="both"/>
        <w:rPr>
          <w:rFonts w:ascii="Tahoma" w:hAnsi="Tahoma" w:cs="Tahoma"/>
        </w:rPr>
      </w:pPr>
    </w:p>
    <w:p w:rsidR="0082235E" w:rsidRPr="00981DAF" w:rsidRDefault="0082235E" w:rsidP="0082235E">
      <w:pPr>
        <w:jc w:val="both"/>
        <w:rPr>
          <w:rFonts w:ascii="Tahoma" w:hAnsi="Tahoma" w:cs="Tahoma"/>
          <w:sz w:val="22"/>
          <w:szCs w:val="22"/>
        </w:rPr>
      </w:pPr>
      <w:r w:rsidRPr="00981DAF">
        <w:rPr>
          <w:rFonts w:ascii="Tahoma" w:hAnsi="Tahoma" w:cs="Tahoma"/>
          <w:b/>
          <w:color w:val="000000"/>
          <w:sz w:val="22"/>
          <w:szCs w:val="22"/>
          <w:u w:val="single"/>
          <w:lang w:eastAsia="hr-HR"/>
        </w:rPr>
        <w:t>Obveze za nabavu nefinancijske imovine (Šifra 24)</w:t>
      </w:r>
      <w:r w:rsidRPr="00981DAF">
        <w:rPr>
          <w:rFonts w:ascii="Tahoma" w:hAnsi="Tahoma" w:cs="Tahoma"/>
          <w:color w:val="000000"/>
          <w:sz w:val="22"/>
          <w:szCs w:val="22"/>
          <w:lang w:eastAsia="hr-HR"/>
        </w:rPr>
        <w:t xml:space="preserve"> </w:t>
      </w:r>
      <w:r w:rsidRPr="00981DAF">
        <w:rPr>
          <w:rFonts w:ascii="Tahoma" w:hAnsi="Tahoma" w:cs="Tahoma"/>
          <w:sz w:val="22"/>
          <w:szCs w:val="22"/>
        </w:rPr>
        <w:t>na dan 31. prosinca 2023. godine iskazane su u iznosu od 9.385.959 EUR što je za 30,9% više u odnosu na isti datum 2022. godine.</w:t>
      </w:r>
    </w:p>
    <w:p w:rsidR="0082235E" w:rsidRPr="00981DAF" w:rsidRDefault="0082235E" w:rsidP="0082235E">
      <w:pPr>
        <w:jc w:val="both"/>
        <w:rPr>
          <w:rFonts w:ascii="Tahoma" w:hAnsi="Tahoma" w:cs="Tahoma"/>
          <w:color w:val="000000"/>
          <w:sz w:val="22"/>
          <w:szCs w:val="22"/>
          <w:lang w:eastAsia="hr-HR"/>
        </w:rPr>
      </w:pPr>
    </w:p>
    <w:p w:rsidR="0082235E" w:rsidRPr="00981DAF" w:rsidRDefault="0082235E" w:rsidP="0082235E">
      <w:pPr>
        <w:jc w:val="both"/>
        <w:rPr>
          <w:rFonts w:ascii="Tahoma" w:hAnsi="Tahoma" w:cs="Tahoma"/>
          <w:color w:val="000000"/>
          <w:sz w:val="22"/>
          <w:szCs w:val="22"/>
          <w:lang w:eastAsia="hr-HR"/>
        </w:rPr>
      </w:pPr>
      <w:r w:rsidRPr="00981DAF">
        <w:rPr>
          <w:rFonts w:ascii="Tahoma" w:hAnsi="Tahoma" w:cs="Tahoma"/>
          <w:color w:val="000000"/>
          <w:sz w:val="22"/>
          <w:szCs w:val="22"/>
          <w:lang w:eastAsia="hr-HR"/>
        </w:rPr>
        <w:t xml:space="preserve">Navedene obveze obuhvaćaju obveze za nabavu opreme, uređaja, instrumenata, dodatnih ulaganja na građevinskim objektima, obveze na ima komunalnog doprinosa temeljem nagodbe s Gradom Zagrebom i Zagrebačkim Holdingom (685.815 EUR) kao i obveze na ime predujmljenih ulaganja za HEP- </w:t>
      </w:r>
      <w:proofErr w:type="spellStart"/>
      <w:r w:rsidRPr="00981DAF">
        <w:rPr>
          <w:rFonts w:ascii="Tahoma" w:hAnsi="Tahoma" w:cs="Tahoma"/>
          <w:color w:val="000000"/>
          <w:sz w:val="22"/>
          <w:szCs w:val="22"/>
          <w:lang w:eastAsia="hr-HR"/>
        </w:rPr>
        <w:t>toplinarstvo</w:t>
      </w:r>
      <w:proofErr w:type="spellEnd"/>
      <w:r w:rsidRPr="00981DAF">
        <w:rPr>
          <w:rFonts w:ascii="Tahoma" w:hAnsi="Tahoma" w:cs="Tahoma"/>
          <w:color w:val="000000"/>
          <w:sz w:val="22"/>
          <w:szCs w:val="22"/>
          <w:lang w:eastAsia="hr-HR"/>
        </w:rPr>
        <w:t xml:space="preserve"> d.o.o. (4.610.522 EUR) za koja je u tijeku sudski postupak.</w:t>
      </w:r>
    </w:p>
    <w:p w:rsidR="0082235E" w:rsidRPr="00981DAF" w:rsidRDefault="0082235E" w:rsidP="0082235E">
      <w:pPr>
        <w:pStyle w:val="NoSpacing"/>
        <w:jc w:val="both"/>
        <w:rPr>
          <w:rFonts w:ascii="Tahoma" w:hAnsi="Tahoma" w:cs="Tahoma"/>
        </w:rPr>
      </w:pPr>
    </w:p>
    <w:p w:rsidR="0082235E" w:rsidRPr="00981DAF" w:rsidRDefault="0082235E" w:rsidP="0082235E">
      <w:pPr>
        <w:jc w:val="both"/>
        <w:rPr>
          <w:rFonts w:ascii="Tahoma" w:hAnsi="Tahoma" w:cs="Tahoma"/>
          <w:sz w:val="22"/>
          <w:szCs w:val="22"/>
        </w:rPr>
      </w:pPr>
      <w:r w:rsidRPr="00981DAF">
        <w:rPr>
          <w:rFonts w:ascii="Tahoma" w:hAnsi="Tahoma" w:cs="Tahoma"/>
          <w:b/>
          <w:sz w:val="22"/>
          <w:szCs w:val="22"/>
          <w:u w:val="single"/>
        </w:rPr>
        <w:t>Obveze za kredite i zajmove (Šifra 26)</w:t>
      </w:r>
      <w:r w:rsidRPr="00981DAF">
        <w:rPr>
          <w:rFonts w:ascii="Tahoma" w:hAnsi="Tahoma" w:cs="Tahoma"/>
          <w:b/>
          <w:sz w:val="22"/>
          <w:szCs w:val="22"/>
        </w:rPr>
        <w:t xml:space="preserve"> </w:t>
      </w:r>
      <w:r w:rsidRPr="00981DAF">
        <w:rPr>
          <w:rFonts w:ascii="Tahoma" w:hAnsi="Tahoma" w:cs="Tahoma"/>
          <w:sz w:val="22"/>
          <w:szCs w:val="22"/>
        </w:rPr>
        <w:t>na dan 31. prosinca 2023. godine iskazane su u iznosu od 12.918.628 EUR što je za 60,4% manje u odnosu na isti datum 2022. godine.</w:t>
      </w:r>
    </w:p>
    <w:p w:rsidR="0082235E" w:rsidRPr="00981DAF" w:rsidRDefault="0082235E" w:rsidP="0082235E">
      <w:pPr>
        <w:jc w:val="both"/>
        <w:rPr>
          <w:rFonts w:ascii="Tahoma" w:hAnsi="Tahoma" w:cs="Tahoma"/>
          <w:b/>
          <w:sz w:val="22"/>
          <w:szCs w:val="22"/>
        </w:rPr>
      </w:pPr>
    </w:p>
    <w:p w:rsidR="0082235E" w:rsidRPr="00981DAF" w:rsidRDefault="0082235E" w:rsidP="0082235E">
      <w:pPr>
        <w:jc w:val="both"/>
        <w:rPr>
          <w:rFonts w:ascii="Tahoma" w:hAnsi="Tahoma" w:cs="Tahoma"/>
          <w:sz w:val="22"/>
          <w:szCs w:val="22"/>
        </w:rPr>
      </w:pPr>
      <w:r w:rsidRPr="00981DAF">
        <w:rPr>
          <w:rFonts w:ascii="Tahoma" w:hAnsi="Tahoma" w:cs="Tahoma"/>
          <w:sz w:val="22"/>
          <w:szCs w:val="22"/>
        </w:rPr>
        <w:t xml:space="preserve">Smanjenje obveza za kredite i zajmove odnosi se na međusobno usklađenje knjigovodstvenih evidencija po </w:t>
      </w:r>
      <w:r w:rsidRPr="00AE336F">
        <w:rPr>
          <w:rFonts w:ascii="Tahoma" w:hAnsi="Tahoma" w:cs="Tahoma"/>
          <w:sz w:val="22"/>
          <w:szCs w:val="22"/>
        </w:rPr>
        <w:t>dugoročnom klupskom kreditu namijenjenom za financiranje II. faze projekta razvoja KBC-a Zagreb (76.031.539 EUR). Sporazumom o reguliranju obveza plaćanja po ugovoru o dugoročnom klupskom kreditu utv</w:t>
      </w:r>
      <w:r w:rsidR="00241EA4" w:rsidRPr="00AE336F">
        <w:rPr>
          <w:rFonts w:ascii="Tahoma" w:hAnsi="Tahoma" w:cs="Tahoma"/>
          <w:sz w:val="22"/>
          <w:szCs w:val="22"/>
        </w:rPr>
        <w:t>r</w:t>
      </w:r>
      <w:r w:rsidRPr="00AE336F">
        <w:rPr>
          <w:rFonts w:ascii="Tahoma" w:hAnsi="Tahoma" w:cs="Tahoma"/>
          <w:sz w:val="22"/>
          <w:szCs w:val="22"/>
        </w:rPr>
        <w:t>đeno je</w:t>
      </w:r>
      <w:r w:rsidRPr="00981DAF">
        <w:rPr>
          <w:rFonts w:ascii="Tahoma" w:hAnsi="Tahoma" w:cs="Tahoma"/>
          <w:sz w:val="22"/>
          <w:szCs w:val="22"/>
        </w:rPr>
        <w:t xml:space="preserve"> da KBC Zagreb otplaćuje navedeni kredit sredstvima ostvarenim od zakupa poslovnog prostora, a Ministarstvo financija otplaćuje preostalu obvezu po kreditu. Iskazivanje ukupnog iznosa obveze po kreditu u poslovnim knjigama oba subjekta dovelo je do dvostrukog iskazivanja obveza u konsolidiranoj bilanci državnog proračuna na što je ukazao Državni ured za reviziju u Izvješću o obavljenoj reviziji Godišnjeg izvještaja o izvršenju Državnog proračuna za 2022. godinu. Uputom Ministarstva financija od 13. studenog 2023. godine, KBC Zagreb je </w:t>
      </w:r>
      <w:proofErr w:type="spellStart"/>
      <w:r w:rsidRPr="00981DAF">
        <w:rPr>
          <w:rFonts w:ascii="Tahoma" w:hAnsi="Tahoma" w:cs="Tahoma"/>
          <w:sz w:val="22"/>
          <w:szCs w:val="22"/>
        </w:rPr>
        <w:t>isknjižio</w:t>
      </w:r>
      <w:proofErr w:type="spellEnd"/>
      <w:r w:rsidRPr="00981DAF">
        <w:rPr>
          <w:rFonts w:ascii="Tahoma" w:hAnsi="Tahoma" w:cs="Tahoma"/>
          <w:sz w:val="22"/>
          <w:szCs w:val="22"/>
        </w:rPr>
        <w:t xml:space="preserve"> evidentirano stanje obveza na dan 1. siječnja 2023. godine te evidentirao samo dio obveze za otplatu kredita u visini ostvarenih prihoda od zakupa poslovnog prostora.</w:t>
      </w:r>
    </w:p>
    <w:p w:rsidR="0082235E" w:rsidRDefault="0082235E" w:rsidP="0082235E">
      <w:pPr>
        <w:jc w:val="both"/>
        <w:rPr>
          <w:rFonts w:ascii="Tahoma" w:hAnsi="Tahoma" w:cs="Tahoma"/>
          <w:sz w:val="22"/>
          <w:szCs w:val="22"/>
        </w:rPr>
      </w:pPr>
      <w:r w:rsidRPr="00981DAF">
        <w:rPr>
          <w:rFonts w:ascii="Tahoma" w:hAnsi="Tahoma" w:cs="Tahoma"/>
          <w:sz w:val="22"/>
          <w:szCs w:val="22"/>
        </w:rPr>
        <w:t xml:space="preserve">Obveze po robnim kreditima za nabavu </w:t>
      </w:r>
      <w:r w:rsidRPr="007A6A85">
        <w:rPr>
          <w:rFonts w:ascii="Tahoma" w:hAnsi="Tahoma" w:cs="Tahoma"/>
          <w:color w:val="0D0D0D" w:themeColor="text1" w:themeTint="F2"/>
          <w:sz w:val="22"/>
          <w:szCs w:val="22"/>
        </w:rPr>
        <w:t>lijekova</w:t>
      </w:r>
      <w:r w:rsidR="0061309B" w:rsidRPr="007A6A85">
        <w:rPr>
          <w:rFonts w:ascii="Tahoma" w:hAnsi="Tahoma" w:cs="Tahoma"/>
          <w:color w:val="0D0D0D" w:themeColor="text1" w:themeTint="F2"/>
          <w:sz w:val="22"/>
          <w:szCs w:val="22"/>
        </w:rPr>
        <w:t xml:space="preserve"> (</w:t>
      </w:r>
      <w:proofErr w:type="spellStart"/>
      <w:r w:rsidR="0061309B" w:rsidRPr="007A6A85">
        <w:rPr>
          <w:rFonts w:ascii="Tahoma" w:hAnsi="Tahoma" w:cs="Tahoma"/>
          <w:color w:val="0D0D0D" w:themeColor="text1" w:themeTint="F2"/>
          <w:sz w:val="22"/>
          <w:szCs w:val="22"/>
        </w:rPr>
        <w:t>Zolgensma</w:t>
      </w:r>
      <w:proofErr w:type="spellEnd"/>
      <w:r w:rsidR="0061309B" w:rsidRPr="007A6A85">
        <w:rPr>
          <w:rFonts w:ascii="Tahoma" w:hAnsi="Tahoma" w:cs="Tahoma"/>
          <w:color w:val="0D0D0D" w:themeColor="text1" w:themeTint="F2"/>
          <w:sz w:val="22"/>
          <w:szCs w:val="22"/>
        </w:rPr>
        <w:t>)</w:t>
      </w:r>
      <w:r w:rsidRPr="007A6A85">
        <w:rPr>
          <w:rFonts w:ascii="Tahoma" w:hAnsi="Tahoma" w:cs="Tahoma"/>
          <w:color w:val="0D0D0D" w:themeColor="text1" w:themeTint="F2"/>
          <w:sz w:val="22"/>
          <w:szCs w:val="22"/>
        </w:rPr>
        <w:t xml:space="preserve"> </w:t>
      </w:r>
      <w:r w:rsidRPr="00981DAF">
        <w:rPr>
          <w:rFonts w:ascii="Tahoma" w:hAnsi="Tahoma" w:cs="Tahoma"/>
          <w:sz w:val="22"/>
          <w:szCs w:val="22"/>
        </w:rPr>
        <w:t>iznose 5.740.892 EUR, a za nabavu opreme 7.177.736 EUR.</w:t>
      </w:r>
    </w:p>
    <w:p w:rsidR="008D79F8" w:rsidRDefault="008D79F8" w:rsidP="0082235E">
      <w:pPr>
        <w:jc w:val="both"/>
        <w:rPr>
          <w:rFonts w:ascii="Tahoma" w:hAnsi="Tahoma" w:cs="Tahoma"/>
          <w:sz w:val="22"/>
          <w:szCs w:val="22"/>
        </w:rPr>
      </w:pPr>
    </w:p>
    <w:p w:rsidR="008D79F8" w:rsidRPr="00100D87" w:rsidRDefault="008D79F8" w:rsidP="0082235E">
      <w:pPr>
        <w:jc w:val="both"/>
        <w:rPr>
          <w:rFonts w:ascii="Tahoma" w:hAnsi="Tahoma" w:cs="Tahoma"/>
          <w:sz w:val="22"/>
          <w:szCs w:val="22"/>
        </w:rPr>
      </w:pPr>
      <w:r w:rsidRPr="00100D87">
        <w:rPr>
          <w:rFonts w:ascii="Tahoma" w:hAnsi="Tahoma" w:cs="Tahoma"/>
          <w:b/>
          <w:sz w:val="22"/>
          <w:szCs w:val="22"/>
          <w:u w:val="single"/>
        </w:rPr>
        <w:t>Odgođeno plaćanje rashoda i prihodi budućih razdoblja (Šifra 29)</w:t>
      </w:r>
      <w:r w:rsidRPr="00100D87">
        <w:rPr>
          <w:rFonts w:ascii="Tahoma" w:hAnsi="Tahoma" w:cs="Tahoma"/>
          <w:sz w:val="22"/>
          <w:szCs w:val="22"/>
        </w:rPr>
        <w:t xml:space="preserve"> na dan 31.12.2023. godine iskazano je u iznosu od 985.301 EUR što je za 41,2% više u odnosu na isti datum 2022. godine.</w:t>
      </w:r>
    </w:p>
    <w:p w:rsidR="008D79F8" w:rsidRPr="006C2DF2" w:rsidRDefault="008D79F8" w:rsidP="0082235E">
      <w:pPr>
        <w:jc w:val="both"/>
        <w:rPr>
          <w:rFonts w:ascii="Tahoma" w:hAnsi="Tahoma" w:cs="Tahoma"/>
          <w:sz w:val="22"/>
          <w:szCs w:val="22"/>
          <w:highlight w:val="red"/>
        </w:rPr>
      </w:pPr>
    </w:p>
    <w:p w:rsidR="008D79F8" w:rsidRDefault="008D79F8" w:rsidP="0082235E">
      <w:pPr>
        <w:jc w:val="both"/>
        <w:rPr>
          <w:rFonts w:ascii="Tahoma" w:hAnsi="Tahoma" w:cs="Tahoma"/>
          <w:sz w:val="22"/>
          <w:szCs w:val="22"/>
        </w:rPr>
      </w:pPr>
      <w:r w:rsidRPr="00265B8C">
        <w:rPr>
          <w:rFonts w:ascii="Tahoma" w:hAnsi="Tahoma" w:cs="Tahoma"/>
          <w:sz w:val="22"/>
          <w:szCs w:val="22"/>
        </w:rPr>
        <w:t xml:space="preserve">Odgođeno plaćanje rashoda u iznosu od 91.729 EUR odnosi se na nefakturirane građevinske radove. </w:t>
      </w:r>
      <w:r w:rsidRPr="00235FF4">
        <w:rPr>
          <w:rFonts w:ascii="Tahoma" w:hAnsi="Tahoma" w:cs="Tahoma"/>
          <w:sz w:val="22"/>
          <w:szCs w:val="22"/>
        </w:rPr>
        <w:t>Prihodi budućih razdoblja odnose se na odgođeno priznavanje prihoda za</w:t>
      </w:r>
      <w:r w:rsidR="00235FF4">
        <w:rPr>
          <w:rFonts w:ascii="Tahoma" w:hAnsi="Tahoma" w:cs="Tahoma"/>
          <w:sz w:val="22"/>
          <w:szCs w:val="22"/>
        </w:rPr>
        <w:t xml:space="preserve"> neutrošene donacije</w:t>
      </w:r>
      <w:r w:rsidRPr="00235FF4">
        <w:rPr>
          <w:rFonts w:ascii="Tahoma" w:hAnsi="Tahoma" w:cs="Tahoma"/>
          <w:sz w:val="22"/>
          <w:szCs w:val="22"/>
        </w:rPr>
        <w:t xml:space="preserve"> </w:t>
      </w:r>
      <w:r w:rsidR="00235FF4" w:rsidRPr="00235FF4">
        <w:rPr>
          <w:rFonts w:ascii="Tahoma" w:hAnsi="Tahoma" w:cs="Tahoma"/>
          <w:sz w:val="22"/>
          <w:szCs w:val="22"/>
        </w:rPr>
        <w:t>lijekov</w:t>
      </w:r>
      <w:r w:rsidR="00235FF4">
        <w:rPr>
          <w:rFonts w:ascii="Tahoma" w:hAnsi="Tahoma" w:cs="Tahoma"/>
          <w:sz w:val="22"/>
          <w:szCs w:val="22"/>
        </w:rPr>
        <w:t>a</w:t>
      </w:r>
      <w:r w:rsidR="00235FF4" w:rsidRPr="00235FF4">
        <w:rPr>
          <w:rFonts w:ascii="Tahoma" w:hAnsi="Tahoma" w:cs="Tahoma"/>
          <w:sz w:val="22"/>
          <w:szCs w:val="22"/>
        </w:rPr>
        <w:t xml:space="preserve">, </w:t>
      </w:r>
      <w:r w:rsidR="00235FF4">
        <w:rPr>
          <w:rFonts w:ascii="Tahoma" w:hAnsi="Tahoma" w:cs="Tahoma"/>
          <w:sz w:val="22"/>
          <w:szCs w:val="22"/>
        </w:rPr>
        <w:t>medicinskog potrošnog</w:t>
      </w:r>
      <w:r w:rsidR="00235FF4" w:rsidRPr="00235FF4">
        <w:rPr>
          <w:rFonts w:ascii="Tahoma" w:hAnsi="Tahoma" w:cs="Tahoma"/>
          <w:sz w:val="22"/>
          <w:szCs w:val="22"/>
        </w:rPr>
        <w:t xml:space="preserve"> materijal</w:t>
      </w:r>
      <w:r w:rsidR="00235FF4">
        <w:rPr>
          <w:rFonts w:ascii="Tahoma" w:hAnsi="Tahoma" w:cs="Tahoma"/>
          <w:sz w:val="22"/>
          <w:szCs w:val="22"/>
        </w:rPr>
        <w:t>a i krvnih pripravaka.</w:t>
      </w:r>
    </w:p>
    <w:p w:rsidR="007A6A85" w:rsidRDefault="007A6A85" w:rsidP="0082235E">
      <w:pPr>
        <w:jc w:val="both"/>
        <w:rPr>
          <w:rFonts w:ascii="Tahoma" w:hAnsi="Tahoma" w:cs="Tahoma"/>
          <w:sz w:val="22"/>
          <w:szCs w:val="22"/>
        </w:rPr>
      </w:pPr>
    </w:p>
    <w:p w:rsidR="007A6A85" w:rsidRDefault="007A6A85" w:rsidP="0082235E">
      <w:pPr>
        <w:jc w:val="both"/>
        <w:rPr>
          <w:rFonts w:ascii="Tahoma" w:hAnsi="Tahoma" w:cs="Tahoma"/>
          <w:sz w:val="22"/>
          <w:szCs w:val="22"/>
        </w:rPr>
      </w:pPr>
    </w:p>
    <w:p w:rsidR="007A6A85" w:rsidRDefault="007A6A85" w:rsidP="0082235E">
      <w:pPr>
        <w:jc w:val="both"/>
        <w:rPr>
          <w:rFonts w:ascii="Tahoma" w:hAnsi="Tahoma" w:cs="Tahoma"/>
          <w:sz w:val="22"/>
          <w:szCs w:val="22"/>
        </w:rPr>
      </w:pPr>
    </w:p>
    <w:p w:rsidR="007A6A85" w:rsidRDefault="007A6A85" w:rsidP="0082235E">
      <w:pPr>
        <w:jc w:val="both"/>
        <w:rPr>
          <w:rFonts w:ascii="Tahoma" w:hAnsi="Tahoma" w:cs="Tahoma"/>
          <w:sz w:val="22"/>
          <w:szCs w:val="22"/>
        </w:rPr>
      </w:pPr>
    </w:p>
    <w:p w:rsidR="00A9347F" w:rsidRDefault="00A9347F" w:rsidP="0082235E">
      <w:pPr>
        <w:jc w:val="both"/>
        <w:rPr>
          <w:rFonts w:ascii="Tahoma" w:hAnsi="Tahoma" w:cs="Tahoma"/>
          <w:sz w:val="22"/>
          <w:szCs w:val="22"/>
        </w:rPr>
      </w:pPr>
    </w:p>
    <w:p w:rsidR="00A9347F" w:rsidRPr="00981DAF" w:rsidRDefault="00A9347F" w:rsidP="00A9347F">
      <w:pPr>
        <w:jc w:val="both"/>
        <w:rPr>
          <w:rFonts w:ascii="Tahoma" w:hAnsi="Tahoma" w:cs="Tahoma"/>
          <w:sz w:val="22"/>
          <w:szCs w:val="22"/>
        </w:rPr>
      </w:pPr>
      <w:r w:rsidRPr="00981DAF">
        <w:rPr>
          <w:rFonts w:ascii="Tahoma" w:hAnsi="Tahoma" w:cs="Tahoma"/>
          <w:b/>
          <w:color w:val="000000"/>
          <w:sz w:val="22"/>
          <w:szCs w:val="22"/>
          <w:u w:val="single"/>
          <w:lang w:eastAsia="hr-HR"/>
        </w:rPr>
        <w:lastRenderedPageBreak/>
        <w:t>Višak/manjak prihoda (Šifra 922)</w:t>
      </w:r>
      <w:r w:rsidRPr="00981DAF">
        <w:rPr>
          <w:rFonts w:ascii="Tahoma" w:hAnsi="Tahoma" w:cs="Tahoma"/>
          <w:color w:val="000000"/>
          <w:sz w:val="22"/>
          <w:szCs w:val="22"/>
          <w:lang w:eastAsia="hr-HR"/>
        </w:rPr>
        <w:t xml:space="preserve"> </w:t>
      </w:r>
    </w:p>
    <w:p w:rsidR="00A9347F" w:rsidRPr="00981DAF" w:rsidRDefault="00A9347F" w:rsidP="00A9347F">
      <w:pPr>
        <w:pStyle w:val="PlainText"/>
        <w:rPr>
          <w:rFonts w:ascii="Tahoma" w:hAnsi="Tahoma" w:cs="Tahoma"/>
          <w:b/>
          <w:sz w:val="22"/>
          <w:szCs w:val="22"/>
        </w:rPr>
      </w:pPr>
    </w:p>
    <w:p w:rsidR="00A9347F" w:rsidRPr="00981DAF" w:rsidRDefault="00A9347F" w:rsidP="00A9347F">
      <w:pPr>
        <w:pStyle w:val="PlainText"/>
        <w:jc w:val="both"/>
        <w:rPr>
          <w:rFonts w:ascii="Tahoma" w:hAnsi="Tahoma" w:cs="Tahoma"/>
          <w:sz w:val="22"/>
          <w:szCs w:val="22"/>
        </w:rPr>
      </w:pPr>
      <w:r w:rsidRPr="00981DAF">
        <w:rPr>
          <w:rFonts w:ascii="Tahoma" w:hAnsi="Tahoma" w:cs="Tahoma"/>
          <w:sz w:val="22"/>
          <w:szCs w:val="22"/>
        </w:rPr>
        <w:t>Podaci u bilanci iskazani su nakon obvezne korekcije rezultata sukladno članku 82. Pravilnika o proračunskom računovodstvu i Računskom planu te je iskazan višak prihoda poslovanja u iznosu od 20.231.074 EUR, manjak prihoda od nefinancijske imovine u iznosu od 14.001.475 EUR i višak prihoda od financijske imovine u iznosu od 2.172.871 EUR. Temeljem navedenog postoji odstupanje u odnosu na PR-RAS obrazac kako slijedi:</w:t>
      </w:r>
    </w:p>
    <w:p w:rsidR="00981DAF" w:rsidRPr="00981DAF" w:rsidRDefault="00981DAF" w:rsidP="00A9347F">
      <w:pPr>
        <w:pStyle w:val="PlainText"/>
        <w:jc w:val="both"/>
        <w:rPr>
          <w:rFonts w:ascii="Tahoma" w:hAnsi="Tahoma" w:cs="Tahoma"/>
          <w:sz w:val="22"/>
          <w:szCs w:val="22"/>
        </w:rPr>
      </w:pPr>
    </w:p>
    <w:p w:rsidR="00A9347F" w:rsidRPr="00981DAF" w:rsidRDefault="00A9347F" w:rsidP="00A9347F">
      <w:pPr>
        <w:pStyle w:val="PlainText"/>
        <w:rPr>
          <w:rFonts w:ascii="Tahoma" w:hAnsi="Tahoma" w:cs="Tahoma"/>
          <w:sz w:val="22"/>
          <w:szCs w:val="22"/>
        </w:rPr>
      </w:pPr>
    </w:p>
    <w:tbl>
      <w:tblPr>
        <w:tblW w:w="9365" w:type="dxa"/>
        <w:tblInd w:w="-10" w:type="dxa"/>
        <w:tblLook w:val="04A0" w:firstRow="1" w:lastRow="0" w:firstColumn="1" w:lastColumn="0" w:noHBand="0" w:noVBand="1"/>
      </w:tblPr>
      <w:tblGrid>
        <w:gridCol w:w="774"/>
        <w:gridCol w:w="4188"/>
        <w:gridCol w:w="1417"/>
        <w:gridCol w:w="1559"/>
        <w:gridCol w:w="1427"/>
      </w:tblGrid>
      <w:tr w:rsidR="00A9347F" w:rsidRPr="00981DAF" w:rsidTr="005B7615">
        <w:trPr>
          <w:trHeight w:val="713"/>
        </w:trPr>
        <w:tc>
          <w:tcPr>
            <w:tcW w:w="7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347F" w:rsidRPr="00981DAF" w:rsidRDefault="00A9347F" w:rsidP="00133B39">
            <w:pPr>
              <w:jc w:val="center"/>
              <w:rPr>
                <w:rFonts w:ascii="Tahoma" w:hAnsi="Tahoma" w:cs="Tahoma"/>
                <w:color w:val="000000"/>
                <w:sz w:val="20"/>
                <w:szCs w:val="20"/>
                <w:lang w:eastAsia="hr-HR"/>
              </w:rPr>
            </w:pPr>
            <w:r w:rsidRPr="00981DAF">
              <w:rPr>
                <w:rFonts w:ascii="Tahoma" w:hAnsi="Tahoma" w:cs="Tahoma"/>
                <w:color w:val="000000"/>
                <w:sz w:val="20"/>
                <w:szCs w:val="20"/>
              </w:rPr>
              <w:t>Račun</w:t>
            </w:r>
          </w:p>
        </w:tc>
        <w:tc>
          <w:tcPr>
            <w:tcW w:w="4188" w:type="dxa"/>
            <w:tcBorders>
              <w:top w:val="single" w:sz="8" w:space="0" w:color="auto"/>
              <w:left w:val="nil"/>
              <w:bottom w:val="single" w:sz="8" w:space="0" w:color="auto"/>
              <w:right w:val="single" w:sz="8" w:space="0" w:color="auto"/>
            </w:tcBorders>
            <w:shd w:val="clear" w:color="auto" w:fill="auto"/>
            <w:noWrap/>
            <w:vAlign w:val="center"/>
            <w:hideMark/>
          </w:tcPr>
          <w:p w:rsidR="00A9347F" w:rsidRPr="00981DAF" w:rsidRDefault="00A9347F" w:rsidP="00133B39">
            <w:pPr>
              <w:jc w:val="center"/>
              <w:rPr>
                <w:rFonts w:ascii="Tahoma" w:hAnsi="Tahoma" w:cs="Tahoma"/>
                <w:color w:val="000000"/>
                <w:sz w:val="20"/>
                <w:szCs w:val="20"/>
              </w:rPr>
            </w:pPr>
            <w:r w:rsidRPr="00981DAF">
              <w:rPr>
                <w:rFonts w:ascii="Tahoma" w:hAnsi="Tahoma" w:cs="Tahoma"/>
                <w:color w:val="000000"/>
                <w:sz w:val="20"/>
                <w:szCs w:val="20"/>
              </w:rPr>
              <w:t>Naziv računa</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A9347F" w:rsidRPr="00981DAF" w:rsidRDefault="00A9347F" w:rsidP="00133B39">
            <w:pPr>
              <w:jc w:val="center"/>
              <w:rPr>
                <w:rFonts w:ascii="Tahoma" w:hAnsi="Tahoma" w:cs="Tahoma"/>
                <w:color w:val="000000"/>
                <w:sz w:val="20"/>
                <w:szCs w:val="20"/>
              </w:rPr>
            </w:pPr>
            <w:r w:rsidRPr="00981DAF">
              <w:rPr>
                <w:rFonts w:ascii="Tahoma" w:hAnsi="Tahoma" w:cs="Tahoma"/>
                <w:color w:val="000000"/>
                <w:sz w:val="20"/>
                <w:szCs w:val="20"/>
              </w:rPr>
              <w:t>PR-RAS</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A9347F" w:rsidRPr="00981DAF" w:rsidRDefault="00A9347F" w:rsidP="00133B39">
            <w:pPr>
              <w:jc w:val="center"/>
              <w:rPr>
                <w:rFonts w:ascii="Tahoma" w:hAnsi="Tahoma" w:cs="Tahoma"/>
                <w:color w:val="000000"/>
                <w:sz w:val="20"/>
                <w:szCs w:val="20"/>
              </w:rPr>
            </w:pPr>
            <w:r w:rsidRPr="00981DAF">
              <w:rPr>
                <w:rFonts w:ascii="Tahoma" w:hAnsi="Tahoma" w:cs="Tahoma"/>
                <w:color w:val="000000"/>
                <w:sz w:val="20"/>
                <w:szCs w:val="20"/>
              </w:rPr>
              <w:t>Korekcija kapitalnih prijenosa</w:t>
            </w:r>
          </w:p>
        </w:tc>
        <w:tc>
          <w:tcPr>
            <w:tcW w:w="1427" w:type="dxa"/>
            <w:tcBorders>
              <w:top w:val="single" w:sz="8" w:space="0" w:color="auto"/>
              <w:left w:val="nil"/>
              <w:bottom w:val="single" w:sz="8" w:space="0" w:color="auto"/>
              <w:right w:val="single" w:sz="8" w:space="0" w:color="auto"/>
            </w:tcBorders>
            <w:shd w:val="clear" w:color="auto" w:fill="auto"/>
            <w:vAlign w:val="center"/>
            <w:hideMark/>
          </w:tcPr>
          <w:p w:rsidR="00A9347F" w:rsidRPr="00981DAF" w:rsidRDefault="00A9347F" w:rsidP="00133B39">
            <w:pPr>
              <w:jc w:val="center"/>
              <w:rPr>
                <w:rFonts w:ascii="Tahoma" w:hAnsi="Tahoma" w:cs="Tahoma"/>
                <w:color w:val="000000"/>
                <w:sz w:val="20"/>
                <w:szCs w:val="20"/>
              </w:rPr>
            </w:pPr>
            <w:r w:rsidRPr="00981DAF">
              <w:rPr>
                <w:rFonts w:ascii="Tahoma" w:hAnsi="Tahoma" w:cs="Tahoma"/>
                <w:color w:val="000000"/>
                <w:sz w:val="20"/>
                <w:szCs w:val="20"/>
              </w:rPr>
              <w:t>Bilanca</w:t>
            </w:r>
          </w:p>
        </w:tc>
      </w:tr>
      <w:tr w:rsidR="00A9347F" w:rsidRPr="00981DAF" w:rsidTr="005B7615">
        <w:trPr>
          <w:trHeight w:val="315"/>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A9347F" w:rsidRPr="00981DAF" w:rsidRDefault="00A9347F" w:rsidP="00133B39">
            <w:pPr>
              <w:jc w:val="right"/>
              <w:rPr>
                <w:rFonts w:ascii="Tahoma" w:hAnsi="Tahoma" w:cs="Tahoma"/>
                <w:color w:val="000000"/>
                <w:sz w:val="20"/>
                <w:szCs w:val="20"/>
              </w:rPr>
            </w:pPr>
            <w:r w:rsidRPr="00981DAF">
              <w:rPr>
                <w:rFonts w:ascii="Tahoma" w:hAnsi="Tahoma" w:cs="Tahoma"/>
                <w:color w:val="000000"/>
                <w:sz w:val="20"/>
                <w:szCs w:val="20"/>
              </w:rPr>
              <w:t>92211</w:t>
            </w:r>
          </w:p>
        </w:tc>
        <w:tc>
          <w:tcPr>
            <w:tcW w:w="4188" w:type="dxa"/>
            <w:tcBorders>
              <w:top w:val="nil"/>
              <w:left w:val="nil"/>
              <w:bottom w:val="single" w:sz="8" w:space="0" w:color="auto"/>
              <w:right w:val="single" w:sz="8" w:space="0" w:color="auto"/>
            </w:tcBorders>
            <w:shd w:val="clear" w:color="auto" w:fill="auto"/>
            <w:noWrap/>
            <w:vAlign w:val="center"/>
            <w:hideMark/>
          </w:tcPr>
          <w:p w:rsidR="00A9347F" w:rsidRPr="00981DAF" w:rsidRDefault="00A9347F" w:rsidP="00133B39">
            <w:pPr>
              <w:rPr>
                <w:rFonts w:ascii="Tahoma" w:hAnsi="Tahoma" w:cs="Tahoma"/>
                <w:color w:val="000000"/>
                <w:sz w:val="20"/>
                <w:szCs w:val="20"/>
              </w:rPr>
            </w:pPr>
            <w:r w:rsidRPr="00981DAF">
              <w:rPr>
                <w:rFonts w:ascii="Tahoma" w:hAnsi="Tahoma" w:cs="Tahoma"/>
                <w:color w:val="000000"/>
                <w:sz w:val="20"/>
                <w:szCs w:val="20"/>
              </w:rPr>
              <w:t>VIŠAK PRIHODA POSLOVANJA</w:t>
            </w:r>
          </w:p>
        </w:tc>
        <w:tc>
          <w:tcPr>
            <w:tcW w:w="1417" w:type="dxa"/>
            <w:tcBorders>
              <w:top w:val="nil"/>
              <w:left w:val="nil"/>
              <w:bottom w:val="single" w:sz="8" w:space="0" w:color="auto"/>
              <w:right w:val="single" w:sz="8" w:space="0" w:color="auto"/>
            </w:tcBorders>
            <w:shd w:val="clear" w:color="auto" w:fill="auto"/>
            <w:noWrap/>
            <w:vAlign w:val="center"/>
            <w:hideMark/>
          </w:tcPr>
          <w:p w:rsidR="00A9347F" w:rsidRPr="00981DAF" w:rsidRDefault="00A9347F" w:rsidP="00133B39">
            <w:pPr>
              <w:jc w:val="right"/>
              <w:rPr>
                <w:rFonts w:ascii="Tahoma" w:hAnsi="Tahoma" w:cs="Tahoma"/>
                <w:color w:val="000000"/>
                <w:sz w:val="20"/>
                <w:szCs w:val="20"/>
              </w:rPr>
            </w:pPr>
            <w:r w:rsidRPr="00981DAF">
              <w:rPr>
                <w:rFonts w:ascii="Tahoma" w:hAnsi="Tahoma" w:cs="Tahoma"/>
                <w:color w:val="000000"/>
                <w:sz w:val="20"/>
                <w:szCs w:val="20"/>
              </w:rPr>
              <w:t>59.600.539</w:t>
            </w:r>
          </w:p>
        </w:tc>
        <w:tc>
          <w:tcPr>
            <w:tcW w:w="1559" w:type="dxa"/>
            <w:tcBorders>
              <w:top w:val="nil"/>
              <w:left w:val="nil"/>
              <w:bottom w:val="single" w:sz="8" w:space="0" w:color="auto"/>
              <w:right w:val="single" w:sz="8" w:space="0" w:color="auto"/>
            </w:tcBorders>
            <w:shd w:val="clear" w:color="auto" w:fill="auto"/>
            <w:noWrap/>
            <w:vAlign w:val="center"/>
            <w:hideMark/>
          </w:tcPr>
          <w:p w:rsidR="00A9347F" w:rsidRPr="00981DAF" w:rsidRDefault="00A9347F" w:rsidP="00133B39">
            <w:pPr>
              <w:jc w:val="right"/>
              <w:rPr>
                <w:rFonts w:ascii="Tahoma" w:hAnsi="Tahoma" w:cs="Tahoma"/>
                <w:color w:val="000000"/>
                <w:sz w:val="20"/>
                <w:szCs w:val="20"/>
              </w:rPr>
            </w:pPr>
            <w:r w:rsidRPr="00981DAF">
              <w:rPr>
                <w:rFonts w:ascii="Tahoma" w:hAnsi="Tahoma" w:cs="Tahoma"/>
                <w:color w:val="000000"/>
                <w:sz w:val="20"/>
                <w:szCs w:val="20"/>
              </w:rPr>
              <w:t>-39.369.465</w:t>
            </w:r>
          </w:p>
        </w:tc>
        <w:tc>
          <w:tcPr>
            <w:tcW w:w="1427" w:type="dxa"/>
            <w:tcBorders>
              <w:top w:val="nil"/>
              <w:left w:val="nil"/>
              <w:bottom w:val="single" w:sz="8" w:space="0" w:color="auto"/>
              <w:right w:val="single" w:sz="8" w:space="0" w:color="auto"/>
            </w:tcBorders>
            <w:shd w:val="clear" w:color="auto" w:fill="auto"/>
            <w:noWrap/>
            <w:vAlign w:val="center"/>
            <w:hideMark/>
          </w:tcPr>
          <w:p w:rsidR="00A9347F" w:rsidRPr="00981DAF" w:rsidRDefault="00A9347F" w:rsidP="00133B39">
            <w:pPr>
              <w:jc w:val="right"/>
              <w:rPr>
                <w:rFonts w:ascii="Tahoma" w:hAnsi="Tahoma" w:cs="Tahoma"/>
                <w:color w:val="000000"/>
                <w:sz w:val="20"/>
                <w:szCs w:val="20"/>
              </w:rPr>
            </w:pPr>
            <w:r w:rsidRPr="00981DAF">
              <w:rPr>
                <w:rFonts w:ascii="Tahoma" w:hAnsi="Tahoma" w:cs="Tahoma"/>
                <w:color w:val="000000"/>
                <w:sz w:val="20"/>
                <w:szCs w:val="20"/>
              </w:rPr>
              <w:t>20.231.074</w:t>
            </w:r>
          </w:p>
        </w:tc>
      </w:tr>
      <w:tr w:rsidR="00A9347F" w:rsidRPr="00981DAF" w:rsidTr="005B7615">
        <w:trPr>
          <w:trHeight w:val="315"/>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A9347F" w:rsidRPr="00981DAF" w:rsidRDefault="00A9347F" w:rsidP="00133B39">
            <w:pPr>
              <w:jc w:val="right"/>
              <w:rPr>
                <w:rFonts w:ascii="Tahoma" w:hAnsi="Tahoma" w:cs="Tahoma"/>
                <w:color w:val="000000"/>
                <w:sz w:val="20"/>
                <w:szCs w:val="20"/>
              </w:rPr>
            </w:pPr>
            <w:r w:rsidRPr="00981DAF">
              <w:rPr>
                <w:rFonts w:ascii="Tahoma" w:hAnsi="Tahoma" w:cs="Tahoma"/>
                <w:color w:val="000000"/>
                <w:sz w:val="20"/>
                <w:szCs w:val="20"/>
              </w:rPr>
              <w:t>92222</w:t>
            </w:r>
          </w:p>
        </w:tc>
        <w:tc>
          <w:tcPr>
            <w:tcW w:w="4188" w:type="dxa"/>
            <w:tcBorders>
              <w:top w:val="nil"/>
              <w:left w:val="nil"/>
              <w:bottom w:val="single" w:sz="8" w:space="0" w:color="auto"/>
              <w:right w:val="single" w:sz="8" w:space="0" w:color="auto"/>
            </w:tcBorders>
            <w:shd w:val="clear" w:color="auto" w:fill="auto"/>
            <w:noWrap/>
            <w:vAlign w:val="center"/>
            <w:hideMark/>
          </w:tcPr>
          <w:p w:rsidR="00A9347F" w:rsidRPr="00981DAF" w:rsidRDefault="00A9347F" w:rsidP="00133B39">
            <w:pPr>
              <w:rPr>
                <w:rFonts w:ascii="Tahoma" w:hAnsi="Tahoma" w:cs="Tahoma"/>
                <w:color w:val="000000"/>
                <w:sz w:val="20"/>
                <w:szCs w:val="20"/>
              </w:rPr>
            </w:pPr>
            <w:r w:rsidRPr="00981DAF">
              <w:rPr>
                <w:rFonts w:ascii="Tahoma" w:hAnsi="Tahoma" w:cs="Tahoma"/>
                <w:color w:val="000000"/>
                <w:sz w:val="20"/>
                <w:szCs w:val="20"/>
              </w:rPr>
              <w:t>MANJAK PRIHODA OD NEFINANCIJSKE IMOVINE</w:t>
            </w:r>
          </w:p>
        </w:tc>
        <w:tc>
          <w:tcPr>
            <w:tcW w:w="1417" w:type="dxa"/>
            <w:tcBorders>
              <w:top w:val="nil"/>
              <w:left w:val="nil"/>
              <w:bottom w:val="single" w:sz="8" w:space="0" w:color="auto"/>
              <w:right w:val="single" w:sz="8" w:space="0" w:color="auto"/>
            </w:tcBorders>
            <w:shd w:val="clear" w:color="auto" w:fill="auto"/>
            <w:noWrap/>
            <w:vAlign w:val="center"/>
            <w:hideMark/>
          </w:tcPr>
          <w:p w:rsidR="00A9347F" w:rsidRPr="00981DAF" w:rsidRDefault="00A9347F" w:rsidP="00133B39">
            <w:pPr>
              <w:jc w:val="right"/>
              <w:rPr>
                <w:rFonts w:ascii="Tahoma" w:hAnsi="Tahoma" w:cs="Tahoma"/>
                <w:color w:val="000000"/>
                <w:sz w:val="20"/>
                <w:szCs w:val="20"/>
              </w:rPr>
            </w:pPr>
            <w:r w:rsidRPr="00981DAF">
              <w:rPr>
                <w:rFonts w:ascii="Tahoma" w:hAnsi="Tahoma" w:cs="Tahoma"/>
                <w:color w:val="000000"/>
                <w:sz w:val="20"/>
                <w:szCs w:val="20"/>
              </w:rPr>
              <w:t>-53.370.940</w:t>
            </w:r>
          </w:p>
        </w:tc>
        <w:tc>
          <w:tcPr>
            <w:tcW w:w="1559" w:type="dxa"/>
            <w:tcBorders>
              <w:top w:val="nil"/>
              <w:left w:val="nil"/>
              <w:bottom w:val="single" w:sz="8" w:space="0" w:color="auto"/>
              <w:right w:val="single" w:sz="8" w:space="0" w:color="auto"/>
            </w:tcBorders>
            <w:shd w:val="clear" w:color="auto" w:fill="auto"/>
            <w:noWrap/>
            <w:vAlign w:val="center"/>
            <w:hideMark/>
          </w:tcPr>
          <w:p w:rsidR="00A9347F" w:rsidRPr="00981DAF" w:rsidRDefault="00A9347F" w:rsidP="00133B39">
            <w:pPr>
              <w:jc w:val="right"/>
              <w:rPr>
                <w:rFonts w:ascii="Tahoma" w:hAnsi="Tahoma" w:cs="Tahoma"/>
                <w:color w:val="000000"/>
                <w:sz w:val="20"/>
                <w:szCs w:val="20"/>
              </w:rPr>
            </w:pPr>
            <w:r w:rsidRPr="00981DAF">
              <w:rPr>
                <w:rFonts w:ascii="Tahoma" w:hAnsi="Tahoma" w:cs="Tahoma"/>
                <w:color w:val="000000"/>
                <w:sz w:val="20"/>
                <w:szCs w:val="20"/>
              </w:rPr>
              <w:t>39.369.465</w:t>
            </w:r>
          </w:p>
        </w:tc>
        <w:tc>
          <w:tcPr>
            <w:tcW w:w="1427" w:type="dxa"/>
            <w:tcBorders>
              <w:top w:val="nil"/>
              <w:left w:val="nil"/>
              <w:bottom w:val="single" w:sz="8" w:space="0" w:color="auto"/>
              <w:right w:val="single" w:sz="8" w:space="0" w:color="auto"/>
            </w:tcBorders>
            <w:shd w:val="clear" w:color="auto" w:fill="auto"/>
            <w:noWrap/>
            <w:vAlign w:val="center"/>
            <w:hideMark/>
          </w:tcPr>
          <w:p w:rsidR="00A9347F" w:rsidRPr="00981DAF" w:rsidRDefault="00A9347F" w:rsidP="00133B39">
            <w:pPr>
              <w:jc w:val="right"/>
              <w:rPr>
                <w:rFonts w:ascii="Tahoma" w:hAnsi="Tahoma" w:cs="Tahoma"/>
                <w:color w:val="000000"/>
                <w:sz w:val="20"/>
                <w:szCs w:val="20"/>
              </w:rPr>
            </w:pPr>
            <w:r w:rsidRPr="00981DAF">
              <w:rPr>
                <w:rFonts w:ascii="Tahoma" w:hAnsi="Tahoma" w:cs="Tahoma"/>
                <w:color w:val="000000"/>
                <w:sz w:val="20"/>
                <w:szCs w:val="20"/>
              </w:rPr>
              <w:t>-14.001.475</w:t>
            </w:r>
          </w:p>
        </w:tc>
      </w:tr>
      <w:tr w:rsidR="00A9347F" w:rsidRPr="00981DAF" w:rsidTr="005B7615">
        <w:trPr>
          <w:trHeight w:val="315"/>
        </w:trPr>
        <w:tc>
          <w:tcPr>
            <w:tcW w:w="774" w:type="dxa"/>
            <w:tcBorders>
              <w:top w:val="nil"/>
              <w:left w:val="single" w:sz="8" w:space="0" w:color="auto"/>
              <w:bottom w:val="single" w:sz="8" w:space="0" w:color="auto"/>
              <w:right w:val="single" w:sz="8" w:space="0" w:color="auto"/>
            </w:tcBorders>
            <w:shd w:val="clear" w:color="auto" w:fill="auto"/>
            <w:noWrap/>
            <w:vAlign w:val="center"/>
            <w:hideMark/>
          </w:tcPr>
          <w:p w:rsidR="00A9347F" w:rsidRPr="00981DAF" w:rsidRDefault="00A9347F" w:rsidP="00133B39">
            <w:pPr>
              <w:jc w:val="right"/>
              <w:rPr>
                <w:rFonts w:ascii="Tahoma" w:hAnsi="Tahoma" w:cs="Tahoma"/>
                <w:color w:val="000000"/>
                <w:sz w:val="20"/>
                <w:szCs w:val="20"/>
              </w:rPr>
            </w:pPr>
            <w:r w:rsidRPr="00981DAF">
              <w:rPr>
                <w:rFonts w:ascii="Tahoma" w:hAnsi="Tahoma" w:cs="Tahoma"/>
                <w:color w:val="000000"/>
                <w:sz w:val="20"/>
                <w:szCs w:val="20"/>
              </w:rPr>
              <w:t>92213</w:t>
            </w:r>
          </w:p>
        </w:tc>
        <w:tc>
          <w:tcPr>
            <w:tcW w:w="4188" w:type="dxa"/>
            <w:tcBorders>
              <w:top w:val="nil"/>
              <w:left w:val="nil"/>
              <w:bottom w:val="single" w:sz="8" w:space="0" w:color="auto"/>
              <w:right w:val="single" w:sz="8" w:space="0" w:color="auto"/>
            </w:tcBorders>
            <w:shd w:val="clear" w:color="auto" w:fill="auto"/>
            <w:noWrap/>
            <w:vAlign w:val="center"/>
            <w:hideMark/>
          </w:tcPr>
          <w:p w:rsidR="00A9347F" w:rsidRPr="00981DAF" w:rsidRDefault="00A9347F" w:rsidP="00133B39">
            <w:pPr>
              <w:rPr>
                <w:rFonts w:ascii="Tahoma" w:hAnsi="Tahoma" w:cs="Tahoma"/>
                <w:color w:val="000000"/>
                <w:sz w:val="20"/>
                <w:szCs w:val="20"/>
              </w:rPr>
            </w:pPr>
            <w:r w:rsidRPr="00981DAF">
              <w:rPr>
                <w:rFonts w:ascii="Tahoma" w:hAnsi="Tahoma" w:cs="Tahoma"/>
                <w:color w:val="000000"/>
                <w:sz w:val="20"/>
                <w:szCs w:val="20"/>
              </w:rPr>
              <w:t>VIŠAK PRIMITAKA OD FINANCIJSKE IMOVINE</w:t>
            </w:r>
          </w:p>
        </w:tc>
        <w:tc>
          <w:tcPr>
            <w:tcW w:w="1417" w:type="dxa"/>
            <w:tcBorders>
              <w:top w:val="nil"/>
              <w:left w:val="nil"/>
              <w:bottom w:val="single" w:sz="8" w:space="0" w:color="auto"/>
              <w:right w:val="single" w:sz="8" w:space="0" w:color="auto"/>
            </w:tcBorders>
            <w:shd w:val="clear" w:color="auto" w:fill="auto"/>
            <w:noWrap/>
            <w:vAlign w:val="center"/>
            <w:hideMark/>
          </w:tcPr>
          <w:p w:rsidR="00A9347F" w:rsidRPr="00981DAF" w:rsidRDefault="00A9347F" w:rsidP="00133B39">
            <w:pPr>
              <w:jc w:val="right"/>
              <w:rPr>
                <w:rFonts w:ascii="Tahoma" w:hAnsi="Tahoma" w:cs="Tahoma"/>
                <w:color w:val="000000"/>
                <w:sz w:val="20"/>
                <w:szCs w:val="20"/>
              </w:rPr>
            </w:pPr>
            <w:r w:rsidRPr="00981DAF">
              <w:rPr>
                <w:rFonts w:ascii="Tahoma" w:hAnsi="Tahoma" w:cs="Tahoma"/>
                <w:color w:val="000000"/>
                <w:sz w:val="20"/>
                <w:szCs w:val="20"/>
              </w:rPr>
              <w:t>2.172.871</w:t>
            </w:r>
          </w:p>
        </w:tc>
        <w:tc>
          <w:tcPr>
            <w:tcW w:w="1559" w:type="dxa"/>
            <w:tcBorders>
              <w:top w:val="nil"/>
              <w:left w:val="nil"/>
              <w:bottom w:val="single" w:sz="8" w:space="0" w:color="auto"/>
              <w:right w:val="single" w:sz="8" w:space="0" w:color="auto"/>
            </w:tcBorders>
            <w:shd w:val="clear" w:color="auto" w:fill="auto"/>
            <w:noWrap/>
            <w:vAlign w:val="center"/>
            <w:hideMark/>
          </w:tcPr>
          <w:p w:rsidR="00A9347F" w:rsidRPr="00981DAF" w:rsidRDefault="00A9347F" w:rsidP="00133B39">
            <w:pPr>
              <w:rPr>
                <w:rFonts w:ascii="Tahoma" w:hAnsi="Tahoma" w:cs="Tahoma"/>
                <w:color w:val="000000"/>
                <w:sz w:val="20"/>
                <w:szCs w:val="20"/>
              </w:rPr>
            </w:pPr>
            <w:r w:rsidRPr="00981DAF">
              <w:rPr>
                <w:rFonts w:ascii="Tahoma" w:hAnsi="Tahoma" w:cs="Tahoma"/>
                <w:color w:val="000000"/>
                <w:sz w:val="20"/>
                <w:szCs w:val="20"/>
              </w:rPr>
              <w:t> </w:t>
            </w:r>
          </w:p>
        </w:tc>
        <w:tc>
          <w:tcPr>
            <w:tcW w:w="1427" w:type="dxa"/>
            <w:tcBorders>
              <w:top w:val="nil"/>
              <w:left w:val="nil"/>
              <w:bottom w:val="single" w:sz="8" w:space="0" w:color="auto"/>
              <w:right w:val="single" w:sz="8" w:space="0" w:color="auto"/>
            </w:tcBorders>
            <w:shd w:val="clear" w:color="auto" w:fill="auto"/>
            <w:noWrap/>
            <w:vAlign w:val="center"/>
            <w:hideMark/>
          </w:tcPr>
          <w:p w:rsidR="00A9347F" w:rsidRPr="00981DAF" w:rsidRDefault="00A9347F" w:rsidP="00133B39">
            <w:pPr>
              <w:jc w:val="right"/>
              <w:rPr>
                <w:rFonts w:ascii="Tahoma" w:hAnsi="Tahoma" w:cs="Tahoma"/>
                <w:color w:val="000000"/>
                <w:sz w:val="20"/>
                <w:szCs w:val="20"/>
              </w:rPr>
            </w:pPr>
            <w:r w:rsidRPr="00981DAF">
              <w:rPr>
                <w:rFonts w:ascii="Tahoma" w:hAnsi="Tahoma" w:cs="Tahoma"/>
                <w:color w:val="000000"/>
                <w:sz w:val="20"/>
                <w:szCs w:val="20"/>
              </w:rPr>
              <w:t>2.172.871</w:t>
            </w:r>
          </w:p>
        </w:tc>
      </w:tr>
      <w:tr w:rsidR="00A9347F" w:rsidRPr="00981DAF" w:rsidTr="005B7615">
        <w:trPr>
          <w:trHeight w:val="315"/>
        </w:trPr>
        <w:tc>
          <w:tcPr>
            <w:tcW w:w="496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9347F" w:rsidRPr="00981DAF" w:rsidRDefault="00A9347F" w:rsidP="00133B39">
            <w:pPr>
              <w:jc w:val="center"/>
              <w:rPr>
                <w:rFonts w:ascii="Tahoma" w:hAnsi="Tahoma" w:cs="Tahoma"/>
                <w:color w:val="000000"/>
                <w:sz w:val="20"/>
                <w:szCs w:val="20"/>
              </w:rPr>
            </w:pPr>
            <w:r w:rsidRPr="00981DAF">
              <w:rPr>
                <w:rFonts w:ascii="Tahoma" w:hAnsi="Tahoma" w:cs="Tahoma"/>
                <w:color w:val="000000"/>
                <w:sz w:val="20"/>
                <w:szCs w:val="20"/>
              </w:rPr>
              <w:t>Ukupno</w:t>
            </w:r>
          </w:p>
        </w:tc>
        <w:tc>
          <w:tcPr>
            <w:tcW w:w="1417" w:type="dxa"/>
            <w:tcBorders>
              <w:top w:val="nil"/>
              <w:left w:val="nil"/>
              <w:bottom w:val="single" w:sz="8" w:space="0" w:color="auto"/>
              <w:right w:val="single" w:sz="8" w:space="0" w:color="auto"/>
            </w:tcBorders>
            <w:shd w:val="clear" w:color="auto" w:fill="auto"/>
            <w:noWrap/>
            <w:vAlign w:val="center"/>
            <w:hideMark/>
          </w:tcPr>
          <w:p w:rsidR="00A9347F" w:rsidRPr="00981DAF" w:rsidRDefault="00A9347F" w:rsidP="00133B39">
            <w:pPr>
              <w:jc w:val="right"/>
              <w:rPr>
                <w:rFonts w:ascii="Tahoma" w:hAnsi="Tahoma" w:cs="Tahoma"/>
                <w:color w:val="000000"/>
                <w:sz w:val="20"/>
                <w:szCs w:val="20"/>
              </w:rPr>
            </w:pPr>
            <w:r w:rsidRPr="00981DAF">
              <w:rPr>
                <w:rFonts w:ascii="Tahoma" w:hAnsi="Tahoma" w:cs="Tahoma"/>
                <w:color w:val="000000"/>
                <w:sz w:val="20"/>
                <w:szCs w:val="20"/>
              </w:rPr>
              <w:t>8.402.470</w:t>
            </w:r>
          </w:p>
        </w:tc>
        <w:tc>
          <w:tcPr>
            <w:tcW w:w="1559" w:type="dxa"/>
            <w:tcBorders>
              <w:top w:val="nil"/>
              <w:left w:val="nil"/>
              <w:bottom w:val="single" w:sz="8" w:space="0" w:color="auto"/>
              <w:right w:val="single" w:sz="8" w:space="0" w:color="auto"/>
            </w:tcBorders>
            <w:shd w:val="clear" w:color="auto" w:fill="auto"/>
            <w:noWrap/>
            <w:vAlign w:val="center"/>
            <w:hideMark/>
          </w:tcPr>
          <w:p w:rsidR="00A9347F" w:rsidRPr="00981DAF" w:rsidRDefault="00A9347F" w:rsidP="00133B39">
            <w:pPr>
              <w:jc w:val="right"/>
              <w:rPr>
                <w:rFonts w:ascii="Tahoma" w:hAnsi="Tahoma" w:cs="Tahoma"/>
                <w:color w:val="000000"/>
                <w:sz w:val="20"/>
                <w:szCs w:val="20"/>
              </w:rPr>
            </w:pPr>
            <w:r w:rsidRPr="00981DAF">
              <w:rPr>
                <w:rFonts w:ascii="Tahoma" w:hAnsi="Tahoma" w:cs="Tahoma"/>
                <w:color w:val="000000"/>
                <w:sz w:val="20"/>
                <w:szCs w:val="20"/>
              </w:rPr>
              <w:t>0</w:t>
            </w:r>
          </w:p>
        </w:tc>
        <w:tc>
          <w:tcPr>
            <w:tcW w:w="1427" w:type="dxa"/>
            <w:tcBorders>
              <w:top w:val="nil"/>
              <w:left w:val="nil"/>
              <w:bottom w:val="single" w:sz="8" w:space="0" w:color="auto"/>
              <w:right w:val="single" w:sz="8" w:space="0" w:color="auto"/>
            </w:tcBorders>
            <w:shd w:val="clear" w:color="auto" w:fill="auto"/>
            <w:noWrap/>
            <w:vAlign w:val="center"/>
            <w:hideMark/>
          </w:tcPr>
          <w:p w:rsidR="00A9347F" w:rsidRPr="00981DAF" w:rsidRDefault="00A9347F" w:rsidP="00133B39">
            <w:pPr>
              <w:jc w:val="right"/>
              <w:rPr>
                <w:rFonts w:ascii="Tahoma" w:hAnsi="Tahoma" w:cs="Tahoma"/>
                <w:color w:val="000000"/>
                <w:sz w:val="20"/>
                <w:szCs w:val="20"/>
              </w:rPr>
            </w:pPr>
            <w:r w:rsidRPr="00981DAF">
              <w:rPr>
                <w:rFonts w:ascii="Tahoma" w:hAnsi="Tahoma" w:cs="Tahoma"/>
                <w:color w:val="000000"/>
                <w:sz w:val="20"/>
                <w:szCs w:val="20"/>
              </w:rPr>
              <w:t>8.402.470</w:t>
            </w:r>
          </w:p>
        </w:tc>
      </w:tr>
    </w:tbl>
    <w:p w:rsidR="0082235E" w:rsidRPr="00981DAF" w:rsidRDefault="0082235E" w:rsidP="0082235E">
      <w:pPr>
        <w:jc w:val="both"/>
        <w:rPr>
          <w:rFonts w:ascii="Tahoma" w:hAnsi="Tahoma" w:cs="Tahoma"/>
          <w:color w:val="000000"/>
          <w:sz w:val="22"/>
          <w:szCs w:val="22"/>
          <w:lang w:eastAsia="hr-HR"/>
        </w:rPr>
      </w:pPr>
    </w:p>
    <w:p w:rsidR="0082235E" w:rsidRPr="001621B4" w:rsidRDefault="0082235E" w:rsidP="0082235E">
      <w:pPr>
        <w:pStyle w:val="PlainText"/>
        <w:rPr>
          <w:rFonts w:ascii="Tahoma" w:hAnsi="Tahoma" w:cs="Tahoma"/>
          <w:b/>
          <w:sz w:val="22"/>
          <w:szCs w:val="22"/>
        </w:rPr>
      </w:pPr>
    </w:p>
    <w:p w:rsidR="0082235E" w:rsidRPr="00981DAF" w:rsidRDefault="0082235E" w:rsidP="0082235E">
      <w:pPr>
        <w:pStyle w:val="PlainText"/>
        <w:rPr>
          <w:rFonts w:ascii="Tahoma" w:hAnsi="Tahoma" w:cs="Tahoma"/>
          <w:b/>
          <w:sz w:val="22"/>
          <w:szCs w:val="22"/>
        </w:rPr>
      </w:pPr>
      <w:r w:rsidRPr="00981DAF">
        <w:rPr>
          <w:rFonts w:ascii="Tahoma" w:hAnsi="Tahoma" w:cs="Tahoma"/>
          <w:b/>
          <w:sz w:val="22"/>
          <w:szCs w:val="22"/>
        </w:rPr>
        <w:t>Višak ili manjak prihoda poslovanja</w:t>
      </w:r>
    </w:p>
    <w:p w:rsidR="0082235E" w:rsidRPr="00981DAF" w:rsidRDefault="0082235E" w:rsidP="0082235E">
      <w:pPr>
        <w:pStyle w:val="PlainText"/>
        <w:rPr>
          <w:rFonts w:ascii="Tahoma" w:hAnsi="Tahoma" w:cs="Tahoma"/>
          <w:sz w:val="22"/>
          <w:szCs w:val="22"/>
        </w:rPr>
      </w:pP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Višak ili manjak prihoda od redovnog poslovanja rezultat je sučeljavanja prihoda i rashoda od poslovanja u jednoj proračunskoj godini.</w:t>
      </w: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Prihodi poslovanja u KBC-u Zagreb su prihodi iz Državnog proračuna i HZZO-a za financiranje redovne djelatnosti na temelju ugovornih obveza, prihodi po posebnim propisima – dopunsko zdravstveno osiguranje i participacije te vlastiti prihodi od pruženih zdravstvenih i nezdravstvenih usluga.</w:t>
      </w: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Rashodi poslovanja su rashodi za zaposlene, materijalni rashodi, financijski rashodi, naknade građanima i kućanstvima i ostali rashodi.</w:t>
      </w:r>
    </w:p>
    <w:p w:rsidR="0082235E" w:rsidRPr="00981DAF" w:rsidRDefault="0082235E" w:rsidP="0082235E">
      <w:pPr>
        <w:pStyle w:val="PlainText"/>
        <w:jc w:val="both"/>
        <w:rPr>
          <w:rFonts w:ascii="Tahoma" w:hAnsi="Tahoma" w:cs="Tahoma"/>
          <w:sz w:val="22"/>
          <w:szCs w:val="22"/>
        </w:rPr>
      </w:pP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Prihodi i rashodi od redovnog poslovanja iskazuju se uz primjenu modificiranoga računovodstvenog načela nastanka događaja. Modificirano računovodstveno načelo nastanka događaja znači da se:</w:t>
      </w: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 prihodi priznaju u izvještajnom razdoblju u kojemu su postali raspoloživi i pod uvjetom da se mogu izmjeriti,</w:t>
      </w: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 rashodi priznaju na temelju nastanka poslovnog događaja (obveza) i u izvještajnom razdoblju na koje se odnose neovisno o plaćanju,</w:t>
      </w: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 rashodi za utrošak kratkotrajne nefinancijske imovine priznaju se u trenutku nabave i u visini njene nabavne vrijednosti. Iznimno, u djelatnosti zdravstva te u obavljanju vlastite trgovačke i proizvođačke djelatnosti rashodi za kratkotrajnu nefinancijsku imovinu iskazuju se u trenutku stvarnog utroška odnosno prodaje.</w:t>
      </w:r>
    </w:p>
    <w:p w:rsidR="0082235E" w:rsidRPr="00981DAF" w:rsidRDefault="0082235E" w:rsidP="0082235E">
      <w:pPr>
        <w:pStyle w:val="PlainText"/>
        <w:rPr>
          <w:rFonts w:ascii="Tahoma" w:hAnsi="Tahoma" w:cs="Tahoma"/>
          <w:sz w:val="22"/>
          <w:szCs w:val="22"/>
        </w:rPr>
      </w:pPr>
    </w:p>
    <w:p w:rsidR="0082235E" w:rsidRPr="00981DAF" w:rsidRDefault="0082235E" w:rsidP="0082235E">
      <w:pPr>
        <w:pStyle w:val="PlainText"/>
        <w:rPr>
          <w:rFonts w:ascii="Tahoma" w:hAnsi="Tahoma" w:cs="Tahoma"/>
          <w:b/>
          <w:sz w:val="22"/>
          <w:szCs w:val="22"/>
        </w:rPr>
      </w:pPr>
      <w:r w:rsidRPr="00981DAF">
        <w:rPr>
          <w:rFonts w:ascii="Tahoma" w:hAnsi="Tahoma" w:cs="Tahoma"/>
          <w:b/>
          <w:sz w:val="22"/>
          <w:szCs w:val="22"/>
        </w:rPr>
        <w:t>Višak ili manjak prihoda od nefinancijske imovine (kapitalnih aktivnosti)</w:t>
      </w:r>
    </w:p>
    <w:p w:rsidR="0082235E" w:rsidRPr="00981DAF" w:rsidRDefault="0082235E" w:rsidP="0082235E">
      <w:pPr>
        <w:pStyle w:val="PlainText"/>
        <w:rPr>
          <w:rFonts w:ascii="Tahoma" w:hAnsi="Tahoma" w:cs="Tahoma"/>
          <w:sz w:val="22"/>
          <w:szCs w:val="22"/>
        </w:rPr>
      </w:pP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Višak ili manjak prihoda od nefinancijske imovine rezultat je sučeljavanja prihoda i rashoda od nefinancijske imovine u jednoj proračunskoj godini.</w:t>
      </w:r>
    </w:p>
    <w:p w:rsidR="0082235E" w:rsidRPr="00981DAF" w:rsidRDefault="0082235E" w:rsidP="0082235E">
      <w:pPr>
        <w:pStyle w:val="PlainText"/>
        <w:jc w:val="both"/>
        <w:rPr>
          <w:rFonts w:ascii="Tahoma" w:hAnsi="Tahoma" w:cs="Tahoma"/>
          <w:sz w:val="22"/>
          <w:szCs w:val="22"/>
        </w:rPr>
      </w:pP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Prihodi od nefinancijske imovine u KBC-u Zagreb su prihodi od prodaje stanova na kojima postoji stanarsko pravo te prihodi od prodaje dugotrajne imovine.</w:t>
      </w: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Rashodi za nabavu nefinancijske imovine su rashodi za izgradnju građevinskih objekata i dodatna ulaganja u iste te nabavu uređaja i opreme.</w:t>
      </w:r>
    </w:p>
    <w:p w:rsidR="0082235E" w:rsidRPr="00981DAF" w:rsidRDefault="0082235E" w:rsidP="0082235E">
      <w:pPr>
        <w:pStyle w:val="PlainText"/>
        <w:jc w:val="both"/>
        <w:rPr>
          <w:rFonts w:ascii="Tahoma" w:hAnsi="Tahoma" w:cs="Tahoma"/>
          <w:sz w:val="22"/>
          <w:szCs w:val="22"/>
        </w:rPr>
      </w:pP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Prihodi i rashodi od nefinancijske imovine iskazuju se uz primjenu modificiranoga računovodstvenog načela nastanka događaja. Modificirano računovodstveno načelo nastanka događaja znači da se:</w:t>
      </w: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lastRenderedPageBreak/>
        <w:t>– ne iskazuje rashod amortizacije nefinancijske dugotrajne imovine,</w:t>
      </w: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 ne iskazuju prihodi i rashodi uslijed promjena vrijednosti nefinancijske imovine,</w:t>
      </w: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 prihodi priznaju u izvještajnom razdoblju u kojemu su postali raspoloživi i pod uvjetom da se mogu izmjeriti,</w:t>
      </w: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 rashodi priznaju na temelju nastanka poslovnog događaja (obveza) i u izvještajnom razdoblju na koje se odnose neovisno o plaćanju,</w:t>
      </w: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 za donacije nefinancijske imovine iskazuju se prihodi i rashodi.</w:t>
      </w:r>
    </w:p>
    <w:p w:rsidR="0082235E" w:rsidRPr="00981DAF" w:rsidRDefault="0082235E" w:rsidP="0082235E">
      <w:pPr>
        <w:pStyle w:val="PlainText"/>
        <w:jc w:val="both"/>
        <w:rPr>
          <w:rFonts w:ascii="Tahoma" w:hAnsi="Tahoma" w:cs="Tahoma"/>
          <w:sz w:val="22"/>
          <w:szCs w:val="22"/>
        </w:rPr>
      </w:pPr>
    </w:p>
    <w:p w:rsidR="002A092D" w:rsidRDefault="002A092D" w:rsidP="0082235E">
      <w:pPr>
        <w:pStyle w:val="PlainText"/>
        <w:rPr>
          <w:rFonts w:ascii="Tahoma" w:hAnsi="Tahoma" w:cs="Tahoma"/>
          <w:b/>
          <w:sz w:val="22"/>
          <w:szCs w:val="22"/>
        </w:rPr>
      </w:pPr>
    </w:p>
    <w:p w:rsidR="0082235E" w:rsidRPr="00981DAF" w:rsidRDefault="0082235E" w:rsidP="0082235E">
      <w:pPr>
        <w:pStyle w:val="PlainText"/>
        <w:rPr>
          <w:rFonts w:ascii="Tahoma" w:hAnsi="Tahoma" w:cs="Tahoma"/>
          <w:b/>
          <w:sz w:val="22"/>
          <w:szCs w:val="22"/>
        </w:rPr>
      </w:pPr>
      <w:r w:rsidRPr="00981DAF">
        <w:rPr>
          <w:rFonts w:ascii="Tahoma" w:hAnsi="Tahoma" w:cs="Tahoma"/>
          <w:b/>
          <w:sz w:val="22"/>
          <w:szCs w:val="22"/>
        </w:rPr>
        <w:t>Višak ili manjak primitaka od financijske imovine (financijskih aktivnosti)</w:t>
      </w:r>
    </w:p>
    <w:p w:rsidR="0082235E" w:rsidRPr="00981DAF" w:rsidRDefault="0082235E" w:rsidP="0082235E">
      <w:pPr>
        <w:pStyle w:val="PlainText"/>
        <w:rPr>
          <w:rFonts w:ascii="Tahoma" w:hAnsi="Tahoma" w:cs="Tahoma"/>
          <w:sz w:val="22"/>
          <w:szCs w:val="22"/>
        </w:rPr>
      </w:pP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Višak ili manjak primitaka od financijske imovine rezultat je sučeljavanja primitaka i izdataka od financijske imovine u jednoj proračunskoj godini.</w:t>
      </w:r>
    </w:p>
    <w:p w:rsidR="0082235E" w:rsidRPr="00981DAF" w:rsidRDefault="0082235E" w:rsidP="0082235E">
      <w:pPr>
        <w:pStyle w:val="PlainText"/>
        <w:jc w:val="both"/>
        <w:rPr>
          <w:rFonts w:ascii="Tahoma" w:hAnsi="Tahoma" w:cs="Tahoma"/>
          <w:sz w:val="22"/>
          <w:szCs w:val="22"/>
        </w:rPr>
      </w:pP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 xml:space="preserve">Primici od financijske imovine su primici od zaduživanja (krediti, zajmovi i financijski </w:t>
      </w:r>
      <w:proofErr w:type="spellStart"/>
      <w:r w:rsidRPr="00981DAF">
        <w:rPr>
          <w:rFonts w:ascii="Tahoma" w:hAnsi="Tahoma" w:cs="Tahoma"/>
          <w:sz w:val="22"/>
          <w:szCs w:val="22"/>
        </w:rPr>
        <w:t>leasing</w:t>
      </w:r>
      <w:proofErr w:type="spellEnd"/>
      <w:r w:rsidRPr="00981DAF">
        <w:rPr>
          <w:rFonts w:ascii="Tahoma" w:hAnsi="Tahoma" w:cs="Tahoma"/>
          <w:sz w:val="22"/>
          <w:szCs w:val="22"/>
        </w:rPr>
        <w:t>).</w:t>
      </w:r>
    </w:p>
    <w:p w:rsidR="0082235E" w:rsidRPr="00981DAF" w:rsidRDefault="0082235E" w:rsidP="0082235E">
      <w:pPr>
        <w:pStyle w:val="PlainText"/>
        <w:jc w:val="both"/>
        <w:rPr>
          <w:rFonts w:ascii="Tahoma" w:hAnsi="Tahoma" w:cs="Tahoma"/>
          <w:sz w:val="22"/>
          <w:szCs w:val="22"/>
        </w:rPr>
      </w:pPr>
      <w:r w:rsidRPr="00981DAF">
        <w:rPr>
          <w:rFonts w:ascii="Tahoma" w:hAnsi="Tahoma" w:cs="Tahoma"/>
          <w:sz w:val="22"/>
          <w:szCs w:val="22"/>
        </w:rPr>
        <w:t xml:space="preserve">Izdaci od financijske imovine su otplate glavnica primljenih kredita i zajmova te otplate rata za financijski </w:t>
      </w:r>
      <w:proofErr w:type="spellStart"/>
      <w:r w:rsidRPr="00981DAF">
        <w:rPr>
          <w:rFonts w:ascii="Tahoma" w:hAnsi="Tahoma" w:cs="Tahoma"/>
          <w:sz w:val="22"/>
          <w:szCs w:val="22"/>
        </w:rPr>
        <w:t>leasing</w:t>
      </w:r>
      <w:proofErr w:type="spellEnd"/>
      <w:r w:rsidRPr="00981DAF">
        <w:rPr>
          <w:rFonts w:ascii="Tahoma" w:hAnsi="Tahoma" w:cs="Tahoma"/>
          <w:sz w:val="22"/>
          <w:szCs w:val="22"/>
        </w:rPr>
        <w:t>.</w:t>
      </w:r>
    </w:p>
    <w:p w:rsidR="0082235E" w:rsidRPr="00981DAF" w:rsidRDefault="0082235E" w:rsidP="0082235E">
      <w:pPr>
        <w:pStyle w:val="PlainText"/>
        <w:jc w:val="both"/>
        <w:rPr>
          <w:rFonts w:ascii="Tahoma" w:hAnsi="Tahoma" w:cs="Tahoma"/>
          <w:sz w:val="22"/>
          <w:szCs w:val="22"/>
        </w:rPr>
      </w:pPr>
    </w:p>
    <w:p w:rsidR="0082235E" w:rsidRPr="00A2782A" w:rsidRDefault="0082235E" w:rsidP="0082235E">
      <w:pPr>
        <w:pStyle w:val="PlainText"/>
        <w:jc w:val="both"/>
        <w:rPr>
          <w:rFonts w:ascii="Tahoma" w:hAnsi="Tahoma" w:cs="Tahoma"/>
          <w:sz w:val="22"/>
          <w:szCs w:val="22"/>
        </w:rPr>
      </w:pPr>
      <w:r w:rsidRPr="00981DAF">
        <w:rPr>
          <w:rFonts w:ascii="Tahoma" w:hAnsi="Tahoma" w:cs="Tahoma"/>
          <w:sz w:val="22"/>
          <w:szCs w:val="22"/>
        </w:rPr>
        <w:t>Primici i izdaci od financijske imovine iskazuju se po gotovinskom načelu pri čemu su primici priljevi novca i novčanih ekvivalenata po svim osnovama, a izdaci odljevi novca i novčanih ekvivalenata po svim osnovama.</w:t>
      </w:r>
    </w:p>
    <w:p w:rsidR="0082235E" w:rsidRDefault="0082235E" w:rsidP="0082235E">
      <w:pPr>
        <w:pStyle w:val="PlainText"/>
        <w:jc w:val="both"/>
        <w:rPr>
          <w:rFonts w:ascii="Tahoma" w:hAnsi="Tahoma" w:cs="Tahoma"/>
          <w:b/>
          <w:sz w:val="22"/>
          <w:szCs w:val="22"/>
        </w:rPr>
      </w:pPr>
    </w:p>
    <w:p w:rsidR="00A9347F" w:rsidRPr="00A2782A" w:rsidRDefault="00A9347F" w:rsidP="00A9347F">
      <w:pPr>
        <w:pStyle w:val="PlainText"/>
        <w:jc w:val="both"/>
        <w:rPr>
          <w:rFonts w:ascii="Tahoma" w:hAnsi="Tahoma" w:cs="Tahoma"/>
          <w:sz w:val="22"/>
          <w:szCs w:val="22"/>
        </w:rPr>
      </w:pPr>
      <w:r w:rsidRPr="00A2782A">
        <w:rPr>
          <w:rFonts w:ascii="Tahoma" w:hAnsi="Tahoma" w:cs="Tahoma"/>
          <w:sz w:val="22"/>
          <w:szCs w:val="22"/>
        </w:rPr>
        <w:t>Tijekom 2023. godine evidentirana su na računima kapitalnih prijenosa sredstva u iznosu od 39.369.465 EUR koja su utrošena za nabavu dugotrajne nefinancijske imovine:</w:t>
      </w:r>
    </w:p>
    <w:p w:rsidR="00A9347F" w:rsidRPr="00A2782A" w:rsidRDefault="00A9347F" w:rsidP="00A9347F">
      <w:pPr>
        <w:pStyle w:val="PlainText"/>
        <w:jc w:val="both"/>
        <w:rPr>
          <w:rFonts w:ascii="Tahoma" w:hAnsi="Tahoma" w:cs="Tahoma"/>
          <w:sz w:val="22"/>
          <w:szCs w:val="22"/>
        </w:rPr>
      </w:pPr>
    </w:p>
    <w:p w:rsidR="00A9347F" w:rsidRPr="00A2782A" w:rsidRDefault="00A9347F" w:rsidP="00A9347F">
      <w:pPr>
        <w:pStyle w:val="PlainText"/>
        <w:rPr>
          <w:rFonts w:ascii="Tahoma" w:hAnsi="Tahoma" w:cs="Tahoma"/>
          <w:sz w:val="22"/>
          <w:szCs w:val="22"/>
        </w:rPr>
      </w:pPr>
    </w:p>
    <w:tbl>
      <w:tblPr>
        <w:tblW w:w="8515" w:type="dxa"/>
        <w:jc w:val="center"/>
        <w:tblLook w:val="04A0" w:firstRow="1" w:lastRow="0" w:firstColumn="1" w:lastColumn="0" w:noHBand="0" w:noVBand="1"/>
      </w:tblPr>
      <w:tblGrid>
        <w:gridCol w:w="1296"/>
        <w:gridCol w:w="6091"/>
        <w:gridCol w:w="1128"/>
      </w:tblGrid>
      <w:tr w:rsidR="00A9347F" w:rsidRPr="00A2782A" w:rsidTr="00133B39">
        <w:trPr>
          <w:trHeight w:val="315"/>
          <w:jc w:val="center"/>
        </w:trPr>
        <w:tc>
          <w:tcPr>
            <w:tcW w:w="12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347F" w:rsidRPr="00A2782A" w:rsidRDefault="00A9347F" w:rsidP="00133B39">
            <w:pPr>
              <w:jc w:val="center"/>
              <w:rPr>
                <w:rFonts w:ascii="Calibri" w:hAnsi="Calibri" w:cs="Calibri"/>
                <w:color w:val="000000"/>
                <w:sz w:val="20"/>
                <w:szCs w:val="20"/>
                <w:lang w:eastAsia="hr-HR"/>
              </w:rPr>
            </w:pPr>
            <w:r w:rsidRPr="00A2782A">
              <w:rPr>
                <w:rFonts w:ascii="Calibri" w:hAnsi="Calibri" w:cs="Calibri"/>
                <w:color w:val="000000"/>
                <w:sz w:val="20"/>
                <w:szCs w:val="20"/>
              </w:rPr>
              <w:t>Račun</w:t>
            </w:r>
          </w:p>
        </w:tc>
        <w:tc>
          <w:tcPr>
            <w:tcW w:w="6091" w:type="dxa"/>
            <w:tcBorders>
              <w:top w:val="single" w:sz="8" w:space="0" w:color="auto"/>
              <w:left w:val="nil"/>
              <w:bottom w:val="single" w:sz="8" w:space="0" w:color="auto"/>
              <w:right w:val="single" w:sz="8" w:space="0" w:color="auto"/>
            </w:tcBorders>
            <w:shd w:val="clear" w:color="auto" w:fill="auto"/>
            <w:noWrap/>
            <w:vAlign w:val="center"/>
            <w:hideMark/>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Naziv</w:t>
            </w:r>
          </w:p>
        </w:tc>
        <w:tc>
          <w:tcPr>
            <w:tcW w:w="1128" w:type="dxa"/>
            <w:tcBorders>
              <w:top w:val="single" w:sz="8" w:space="0" w:color="auto"/>
              <w:left w:val="nil"/>
              <w:bottom w:val="single" w:sz="8" w:space="0" w:color="auto"/>
              <w:right w:val="single" w:sz="8" w:space="0" w:color="auto"/>
            </w:tcBorders>
            <w:shd w:val="clear" w:color="auto" w:fill="auto"/>
            <w:noWrap/>
            <w:vAlign w:val="center"/>
            <w:hideMark/>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Iznos</w:t>
            </w:r>
          </w:p>
        </w:tc>
      </w:tr>
      <w:tr w:rsidR="00A9347F" w:rsidRPr="00A2782A" w:rsidTr="00133B39">
        <w:trPr>
          <w:trHeight w:val="315"/>
          <w:jc w:val="center"/>
        </w:trPr>
        <w:tc>
          <w:tcPr>
            <w:tcW w:w="1296" w:type="dxa"/>
            <w:tcBorders>
              <w:top w:val="nil"/>
              <w:left w:val="single" w:sz="8" w:space="0" w:color="auto"/>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63241</w:t>
            </w:r>
          </w:p>
        </w:tc>
        <w:tc>
          <w:tcPr>
            <w:tcW w:w="6091"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KAPITALNE POMOĆI OD INSTITUCIJA I TIJELA EU</w:t>
            </w:r>
          </w:p>
        </w:tc>
        <w:tc>
          <w:tcPr>
            <w:tcW w:w="1128"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16.290</w:t>
            </w:r>
          </w:p>
        </w:tc>
      </w:tr>
      <w:tr w:rsidR="00A9347F" w:rsidRPr="00A2782A" w:rsidTr="00133B39">
        <w:trPr>
          <w:trHeight w:val="315"/>
          <w:jc w:val="center"/>
        </w:trPr>
        <w:tc>
          <w:tcPr>
            <w:tcW w:w="1296" w:type="dxa"/>
            <w:tcBorders>
              <w:top w:val="nil"/>
              <w:left w:val="single" w:sz="8" w:space="0" w:color="auto"/>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632410563</w:t>
            </w:r>
          </w:p>
        </w:tc>
        <w:tc>
          <w:tcPr>
            <w:tcW w:w="6091"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KAPITALNE POMOĆI OD INSTITUCIJA I TIJELA EU - IRI (EFRR)</w:t>
            </w:r>
          </w:p>
        </w:tc>
        <w:tc>
          <w:tcPr>
            <w:tcW w:w="1128"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1.396</w:t>
            </w:r>
          </w:p>
        </w:tc>
      </w:tr>
      <w:tr w:rsidR="00A9347F" w:rsidRPr="00A2782A" w:rsidTr="00133B39">
        <w:trPr>
          <w:trHeight w:val="315"/>
          <w:jc w:val="center"/>
        </w:trPr>
        <w:tc>
          <w:tcPr>
            <w:tcW w:w="1296" w:type="dxa"/>
            <w:tcBorders>
              <w:top w:val="nil"/>
              <w:left w:val="single" w:sz="8" w:space="0" w:color="auto"/>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632415761</w:t>
            </w:r>
          </w:p>
        </w:tc>
        <w:tc>
          <w:tcPr>
            <w:tcW w:w="6091"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KAPITALNE POMOĆI OD INSTI. I TIJELA EU -FOND SOLIDARNOSTI</w:t>
            </w:r>
          </w:p>
        </w:tc>
        <w:tc>
          <w:tcPr>
            <w:tcW w:w="1128"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15.440.353</w:t>
            </w:r>
          </w:p>
        </w:tc>
      </w:tr>
      <w:tr w:rsidR="00A9347F" w:rsidRPr="00A2782A" w:rsidTr="00133B39">
        <w:trPr>
          <w:trHeight w:val="315"/>
          <w:jc w:val="center"/>
        </w:trPr>
        <w:tc>
          <w:tcPr>
            <w:tcW w:w="1296" w:type="dxa"/>
            <w:tcBorders>
              <w:top w:val="nil"/>
              <w:left w:val="single" w:sz="8" w:space="0" w:color="auto"/>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632415765</w:t>
            </w:r>
          </w:p>
        </w:tc>
        <w:tc>
          <w:tcPr>
            <w:tcW w:w="6091"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KAPITALNE POMOĆI OD INSTITUCIJA I TIJELA EU - PODIZVOR</w:t>
            </w:r>
          </w:p>
        </w:tc>
        <w:tc>
          <w:tcPr>
            <w:tcW w:w="1128"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181.420</w:t>
            </w:r>
          </w:p>
        </w:tc>
      </w:tr>
      <w:tr w:rsidR="00A9347F" w:rsidRPr="00A2782A" w:rsidTr="00133B39">
        <w:trPr>
          <w:trHeight w:val="315"/>
          <w:jc w:val="center"/>
        </w:trPr>
        <w:tc>
          <w:tcPr>
            <w:tcW w:w="1296" w:type="dxa"/>
            <w:tcBorders>
              <w:top w:val="nil"/>
              <w:left w:val="single" w:sz="8" w:space="0" w:color="auto"/>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66321</w:t>
            </w:r>
          </w:p>
        </w:tc>
        <w:tc>
          <w:tcPr>
            <w:tcW w:w="6091"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KAPITALNE DONACIJE OD FIZIČKIH OSOBA</w:t>
            </w:r>
          </w:p>
        </w:tc>
        <w:tc>
          <w:tcPr>
            <w:tcW w:w="1128"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70.075</w:t>
            </w:r>
          </w:p>
        </w:tc>
      </w:tr>
      <w:tr w:rsidR="00A9347F" w:rsidRPr="00A2782A" w:rsidTr="00133B39">
        <w:trPr>
          <w:trHeight w:val="315"/>
          <w:jc w:val="center"/>
        </w:trPr>
        <w:tc>
          <w:tcPr>
            <w:tcW w:w="1296" w:type="dxa"/>
            <w:tcBorders>
              <w:top w:val="nil"/>
              <w:left w:val="single" w:sz="8" w:space="0" w:color="auto"/>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66322</w:t>
            </w:r>
          </w:p>
        </w:tc>
        <w:tc>
          <w:tcPr>
            <w:tcW w:w="6091"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KAPITALNE DONACIJE OD NEPROFITNIH ORGANIZACIJA</w:t>
            </w:r>
          </w:p>
        </w:tc>
        <w:tc>
          <w:tcPr>
            <w:tcW w:w="1128"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70.651</w:t>
            </w:r>
          </w:p>
        </w:tc>
      </w:tr>
      <w:tr w:rsidR="00A9347F" w:rsidRPr="00A2782A" w:rsidTr="00133B39">
        <w:trPr>
          <w:trHeight w:val="315"/>
          <w:jc w:val="center"/>
        </w:trPr>
        <w:tc>
          <w:tcPr>
            <w:tcW w:w="1296" w:type="dxa"/>
            <w:tcBorders>
              <w:top w:val="nil"/>
              <w:left w:val="single" w:sz="8" w:space="0" w:color="auto"/>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66323</w:t>
            </w:r>
          </w:p>
        </w:tc>
        <w:tc>
          <w:tcPr>
            <w:tcW w:w="6091"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KAPITALNE DONACIJE OD TRGOVAČKIH DRUŠTAVA</w:t>
            </w:r>
          </w:p>
        </w:tc>
        <w:tc>
          <w:tcPr>
            <w:tcW w:w="1128"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169.622</w:t>
            </w:r>
          </w:p>
        </w:tc>
      </w:tr>
      <w:tr w:rsidR="00A9347F" w:rsidRPr="00A2782A" w:rsidTr="00133B39">
        <w:trPr>
          <w:trHeight w:val="315"/>
          <w:jc w:val="center"/>
        </w:trPr>
        <w:tc>
          <w:tcPr>
            <w:tcW w:w="1296" w:type="dxa"/>
            <w:tcBorders>
              <w:top w:val="nil"/>
              <w:left w:val="single" w:sz="8" w:space="0" w:color="auto"/>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6712100</w:t>
            </w:r>
          </w:p>
        </w:tc>
        <w:tc>
          <w:tcPr>
            <w:tcW w:w="6091"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PRIHODI IZ DP-a ZA NABAVU NEFINANCIJSKE IMOVINE</w:t>
            </w:r>
          </w:p>
        </w:tc>
        <w:tc>
          <w:tcPr>
            <w:tcW w:w="1128"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23.416.537</w:t>
            </w:r>
          </w:p>
        </w:tc>
      </w:tr>
      <w:tr w:rsidR="00A9347F" w:rsidRPr="00A2782A" w:rsidTr="00133B39">
        <w:trPr>
          <w:trHeight w:val="315"/>
          <w:jc w:val="center"/>
        </w:trPr>
        <w:tc>
          <w:tcPr>
            <w:tcW w:w="1296" w:type="dxa"/>
            <w:tcBorders>
              <w:top w:val="nil"/>
              <w:left w:val="single" w:sz="8" w:space="0" w:color="auto"/>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67121001</w:t>
            </w:r>
          </w:p>
        </w:tc>
        <w:tc>
          <w:tcPr>
            <w:tcW w:w="6091"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PRIHODI UČEŠĆA DP -ZA NEFINANCIJSKU IMOVINU U EU PROJEKTIMA</w:t>
            </w:r>
          </w:p>
        </w:tc>
        <w:tc>
          <w:tcPr>
            <w:tcW w:w="1128" w:type="dxa"/>
            <w:tcBorders>
              <w:top w:val="nil"/>
              <w:left w:val="nil"/>
              <w:bottom w:val="single" w:sz="8" w:space="0" w:color="auto"/>
              <w:right w:val="single" w:sz="8" w:space="0" w:color="auto"/>
            </w:tcBorders>
            <w:shd w:val="clear" w:color="auto" w:fill="auto"/>
            <w:noWrap/>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3.121</w:t>
            </w:r>
          </w:p>
        </w:tc>
      </w:tr>
      <w:tr w:rsidR="00A9347F" w:rsidRPr="00A2782A" w:rsidTr="00133B39">
        <w:trPr>
          <w:trHeight w:val="315"/>
          <w:jc w:val="center"/>
        </w:trPr>
        <w:tc>
          <w:tcPr>
            <w:tcW w:w="738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Ukupno</w:t>
            </w:r>
          </w:p>
        </w:tc>
        <w:tc>
          <w:tcPr>
            <w:tcW w:w="1128" w:type="dxa"/>
            <w:tcBorders>
              <w:top w:val="nil"/>
              <w:left w:val="nil"/>
              <w:bottom w:val="single" w:sz="8" w:space="0" w:color="auto"/>
              <w:right w:val="single" w:sz="8" w:space="0" w:color="auto"/>
            </w:tcBorders>
            <w:shd w:val="clear" w:color="auto" w:fill="auto"/>
            <w:noWrap/>
            <w:vAlign w:val="center"/>
            <w:hideMark/>
          </w:tcPr>
          <w:p w:rsidR="00A9347F" w:rsidRPr="00A2782A" w:rsidRDefault="00A9347F" w:rsidP="00133B39">
            <w:pPr>
              <w:jc w:val="center"/>
              <w:rPr>
                <w:rFonts w:ascii="Calibri" w:hAnsi="Calibri" w:cs="Calibri"/>
                <w:color w:val="000000"/>
                <w:sz w:val="20"/>
                <w:szCs w:val="20"/>
              </w:rPr>
            </w:pPr>
            <w:r w:rsidRPr="00A2782A">
              <w:rPr>
                <w:rFonts w:ascii="Calibri" w:hAnsi="Calibri" w:cs="Calibri"/>
                <w:color w:val="000000"/>
                <w:sz w:val="20"/>
                <w:szCs w:val="20"/>
              </w:rPr>
              <w:t>39.369.465</w:t>
            </w:r>
          </w:p>
        </w:tc>
      </w:tr>
    </w:tbl>
    <w:p w:rsidR="00A9347F" w:rsidRPr="00A2782A" w:rsidRDefault="00A9347F" w:rsidP="00A9347F">
      <w:pPr>
        <w:pStyle w:val="PlainText"/>
        <w:rPr>
          <w:rFonts w:ascii="Tahoma" w:hAnsi="Tahoma" w:cs="Tahoma"/>
          <w:sz w:val="22"/>
          <w:szCs w:val="22"/>
        </w:rPr>
      </w:pPr>
    </w:p>
    <w:p w:rsidR="00A9347F" w:rsidRPr="00A2782A" w:rsidRDefault="00A9347F" w:rsidP="00A9347F">
      <w:pPr>
        <w:pStyle w:val="PlainText"/>
        <w:rPr>
          <w:rFonts w:ascii="Tahoma" w:hAnsi="Tahoma" w:cs="Tahoma"/>
          <w:sz w:val="22"/>
          <w:szCs w:val="22"/>
        </w:rPr>
      </w:pPr>
      <w:r w:rsidRPr="00A2782A">
        <w:rPr>
          <w:rFonts w:ascii="Tahoma" w:hAnsi="Tahoma" w:cs="Tahoma"/>
          <w:sz w:val="22"/>
          <w:szCs w:val="22"/>
        </w:rPr>
        <w:t>Provedena je korekcija rezultata na način da se za iznos od 39.369.465 EUR zadužuje račun viška prihoda poslovanja, a odobrava račun manjka prihoda od nefinancijske imovine.</w:t>
      </w:r>
    </w:p>
    <w:p w:rsidR="00A9347F" w:rsidRPr="00A2782A" w:rsidRDefault="00A9347F" w:rsidP="00A9347F">
      <w:pPr>
        <w:pStyle w:val="PlainText"/>
        <w:rPr>
          <w:rFonts w:ascii="Tahoma" w:hAnsi="Tahoma" w:cs="Tahoma"/>
          <w:b/>
          <w:sz w:val="22"/>
          <w:szCs w:val="22"/>
        </w:rPr>
      </w:pPr>
    </w:p>
    <w:p w:rsidR="00C93170" w:rsidRDefault="00A9347F" w:rsidP="00A9347F">
      <w:pPr>
        <w:pStyle w:val="PlainText"/>
        <w:jc w:val="both"/>
        <w:rPr>
          <w:rFonts w:ascii="Tahoma" w:hAnsi="Tahoma" w:cs="Tahoma"/>
          <w:sz w:val="22"/>
          <w:szCs w:val="22"/>
        </w:rPr>
      </w:pPr>
      <w:r w:rsidRPr="00A2782A">
        <w:rPr>
          <w:rFonts w:ascii="Tahoma" w:hAnsi="Tahoma" w:cs="Tahoma"/>
          <w:sz w:val="22"/>
          <w:szCs w:val="22"/>
        </w:rPr>
        <w:t>Sukladno članku 15. stavak 2., 3., i 4. Pravilnika o financijskom izvještavanju u proračunskom računovodstvu (NN 37/2022) obvezna Bilješka uz Bilancu je Popis sudskih sporova u tijeku koji se iskazuje u obliku tablica. Popis sudskih sporova u tijeku obvezno sadrži sažeti opis prirode spora, procjenu financijskog učinka koji može proisteći iz sudskog spora kao obveza ili imovina te procijenjeno vrijeme odljeva ili priljeva sredstava i poseban je dodatak uz Bilješke uz financijske izvještaje.</w:t>
      </w:r>
    </w:p>
    <w:p w:rsidR="007A6A85" w:rsidRDefault="007A6A85" w:rsidP="00A9347F">
      <w:pPr>
        <w:pStyle w:val="PlainText"/>
        <w:jc w:val="both"/>
        <w:rPr>
          <w:rFonts w:ascii="Tahoma" w:hAnsi="Tahoma" w:cs="Tahoma"/>
          <w:sz w:val="22"/>
          <w:szCs w:val="22"/>
        </w:rPr>
      </w:pPr>
    </w:p>
    <w:p w:rsidR="007A6A85" w:rsidRDefault="007A6A85" w:rsidP="00A9347F">
      <w:pPr>
        <w:pStyle w:val="PlainText"/>
        <w:jc w:val="both"/>
        <w:rPr>
          <w:rFonts w:ascii="Tahoma" w:hAnsi="Tahoma" w:cs="Tahoma"/>
          <w:sz w:val="22"/>
          <w:szCs w:val="22"/>
        </w:rPr>
      </w:pPr>
    </w:p>
    <w:p w:rsidR="006C2DF2" w:rsidRDefault="006C2DF2" w:rsidP="00A9347F">
      <w:pPr>
        <w:pStyle w:val="PlainText"/>
        <w:jc w:val="both"/>
        <w:rPr>
          <w:rFonts w:ascii="Tahoma" w:hAnsi="Tahoma" w:cs="Tahoma"/>
          <w:sz w:val="22"/>
          <w:szCs w:val="22"/>
        </w:rPr>
      </w:pPr>
    </w:p>
    <w:p w:rsidR="00C93170" w:rsidRPr="005C0007" w:rsidRDefault="00C93170" w:rsidP="00C93170">
      <w:pPr>
        <w:jc w:val="both"/>
        <w:rPr>
          <w:rFonts w:ascii="Tahoma" w:hAnsi="Tahoma" w:cs="Tahoma"/>
          <w:sz w:val="22"/>
          <w:szCs w:val="22"/>
        </w:rPr>
      </w:pPr>
      <w:proofErr w:type="spellStart"/>
      <w:r w:rsidRPr="005C0007">
        <w:rPr>
          <w:rFonts w:ascii="Tahoma" w:hAnsi="Tahoma" w:cs="Tahoma"/>
          <w:b/>
          <w:sz w:val="22"/>
          <w:szCs w:val="22"/>
          <w:u w:val="single"/>
        </w:rPr>
        <w:lastRenderedPageBreak/>
        <w:t>Izvanbilančni</w:t>
      </w:r>
      <w:proofErr w:type="spellEnd"/>
      <w:r w:rsidRPr="005C0007">
        <w:rPr>
          <w:rFonts w:ascii="Tahoma" w:hAnsi="Tahoma" w:cs="Tahoma"/>
          <w:b/>
          <w:sz w:val="22"/>
          <w:szCs w:val="22"/>
          <w:u w:val="single"/>
        </w:rPr>
        <w:t xml:space="preserve"> zapisi (Šifre 991/996)</w:t>
      </w:r>
      <w:r w:rsidRPr="005C0007">
        <w:rPr>
          <w:rFonts w:ascii="Tahoma" w:hAnsi="Tahoma" w:cs="Tahoma"/>
          <w:b/>
          <w:sz w:val="22"/>
          <w:szCs w:val="22"/>
        </w:rPr>
        <w:t xml:space="preserve"> </w:t>
      </w:r>
      <w:r w:rsidRPr="005C0007">
        <w:rPr>
          <w:rFonts w:ascii="Tahoma" w:hAnsi="Tahoma" w:cs="Tahoma"/>
          <w:sz w:val="22"/>
          <w:szCs w:val="22"/>
        </w:rPr>
        <w:t>na dan 31. prosinca 2023. godine iskaza</w:t>
      </w:r>
      <w:r w:rsidR="005C0007">
        <w:rPr>
          <w:rFonts w:ascii="Tahoma" w:hAnsi="Tahoma" w:cs="Tahoma"/>
          <w:sz w:val="22"/>
          <w:szCs w:val="22"/>
        </w:rPr>
        <w:t>ne su u iznosu od 120.821.329</w:t>
      </w:r>
      <w:r w:rsidRPr="005C0007">
        <w:rPr>
          <w:rFonts w:ascii="Tahoma" w:hAnsi="Tahoma" w:cs="Tahoma"/>
          <w:sz w:val="22"/>
          <w:szCs w:val="22"/>
        </w:rPr>
        <w:t xml:space="preserve"> EUR što je za 245,9% više u odnosu na isti datum 2022. godine.</w:t>
      </w:r>
    </w:p>
    <w:p w:rsidR="00C93170" w:rsidRPr="003F0002" w:rsidRDefault="00C93170" w:rsidP="00C93170">
      <w:pPr>
        <w:jc w:val="both"/>
        <w:rPr>
          <w:rFonts w:ascii="Tahoma" w:hAnsi="Tahoma" w:cs="Tahoma"/>
          <w:sz w:val="22"/>
          <w:szCs w:val="22"/>
          <w:highlight w:val="yellow"/>
        </w:rPr>
      </w:pPr>
    </w:p>
    <w:p w:rsidR="00CC4639" w:rsidRPr="00CC4639" w:rsidRDefault="003F0002" w:rsidP="00CC4639">
      <w:pPr>
        <w:jc w:val="both"/>
        <w:rPr>
          <w:rFonts w:ascii="Tahoma" w:hAnsi="Tahoma" w:cs="Tahoma"/>
          <w:sz w:val="22"/>
          <w:szCs w:val="22"/>
        </w:rPr>
      </w:pPr>
      <w:r w:rsidRPr="00853F1F">
        <w:rPr>
          <w:rFonts w:ascii="Tahoma" w:hAnsi="Tahoma" w:cs="Tahoma"/>
          <w:sz w:val="22"/>
          <w:szCs w:val="22"/>
        </w:rPr>
        <w:t>Na p</w:t>
      </w:r>
      <w:r w:rsidR="00CC4639" w:rsidRPr="00853F1F">
        <w:rPr>
          <w:rFonts w:ascii="Tahoma" w:hAnsi="Tahoma" w:cs="Tahoma"/>
          <w:sz w:val="22"/>
          <w:szCs w:val="22"/>
        </w:rPr>
        <w:t xml:space="preserve">ovećanje </w:t>
      </w:r>
      <w:proofErr w:type="spellStart"/>
      <w:r w:rsidR="00CC4639" w:rsidRPr="00853F1F">
        <w:rPr>
          <w:rFonts w:ascii="Tahoma" w:hAnsi="Tahoma" w:cs="Tahoma"/>
          <w:sz w:val="22"/>
          <w:szCs w:val="22"/>
        </w:rPr>
        <w:t>izvanbilančnih</w:t>
      </w:r>
      <w:proofErr w:type="spellEnd"/>
      <w:r w:rsidR="00CC4639" w:rsidRPr="00853F1F">
        <w:rPr>
          <w:rFonts w:ascii="Tahoma" w:hAnsi="Tahoma" w:cs="Tahoma"/>
          <w:sz w:val="22"/>
          <w:szCs w:val="22"/>
        </w:rPr>
        <w:t xml:space="preserve"> zapisa </w:t>
      </w:r>
      <w:r w:rsidR="009424A4" w:rsidRPr="00853F1F">
        <w:rPr>
          <w:rFonts w:ascii="Tahoma" w:hAnsi="Tahoma" w:cs="Tahoma"/>
          <w:sz w:val="22"/>
          <w:szCs w:val="22"/>
        </w:rPr>
        <w:t>najveć</w:t>
      </w:r>
      <w:r w:rsidRPr="00853F1F">
        <w:rPr>
          <w:rFonts w:ascii="Tahoma" w:hAnsi="Tahoma" w:cs="Tahoma"/>
          <w:sz w:val="22"/>
          <w:szCs w:val="22"/>
        </w:rPr>
        <w:t>im dijelom utjecalo je povećanje</w:t>
      </w:r>
      <w:r w:rsidR="00CC4639" w:rsidRPr="00853F1F">
        <w:rPr>
          <w:rFonts w:ascii="Tahoma" w:hAnsi="Tahoma" w:cs="Tahoma"/>
          <w:sz w:val="22"/>
          <w:szCs w:val="22"/>
        </w:rPr>
        <w:t xml:space="preserve"> potencijalnih obveza po sudskim sporovima u iznosu od </w:t>
      </w:r>
      <w:r w:rsidRPr="00853F1F">
        <w:rPr>
          <w:rFonts w:ascii="Tahoma" w:hAnsi="Tahoma" w:cs="Tahoma"/>
          <w:sz w:val="22"/>
          <w:szCs w:val="22"/>
        </w:rPr>
        <w:t>54.191.972 EUR, te evidentiranje stanja obveza za glavnicu dugoročn</w:t>
      </w:r>
      <w:r w:rsidR="00853F1F" w:rsidRPr="00853F1F">
        <w:rPr>
          <w:rFonts w:ascii="Tahoma" w:hAnsi="Tahoma" w:cs="Tahoma"/>
          <w:sz w:val="22"/>
          <w:szCs w:val="22"/>
        </w:rPr>
        <w:t>og klupskog kredita namijenjenog</w:t>
      </w:r>
      <w:r w:rsidRPr="00853F1F">
        <w:rPr>
          <w:rFonts w:ascii="Tahoma" w:hAnsi="Tahoma" w:cs="Tahoma"/>
          <w:sz w:val="22"/>
          <w:szCs w:val="22"/>
        </w:rPr>
        <w:t xml:space="preserve"> za financiranje II. faze projekta razvoja KBC-a Zagreb </w:t>
      </w:r>
      <w:proofErr w:type="spellStart"/>
      <w:r w:rsidRPr="00853F1F">
        <w:rPr>
          <w:rFonts w:ascii="Tahoma" w:hAnsi="Tahoma" w:cs="Tahoma"/>
          <w:sz w:val="22"/>
          <w:szCs w:val="22"/>
        </w:rPr>
        <w:t>izvanbilančno</w:t>
      </w:r>
      <w:proofErr w:type="spellEnd"/>
      <w:r w:rsidRPr="00853F1F">
        <w:rPr>
          <w:rFonts w:ascii="Tahoma" w:hAnsi="Tahoma" w:cs="Tahoma"/>
          <w:sz w:val="22"/>
          <w:szCs w:val="22"/>
        </w:rPr>
        <w:t xml:space="preserve"> </w:t>
      </w:r>
      <w:r w:rsidR="00853F1F" w:rsidRPr="00853F1F">
        <w:rPr>
          <w:rFonts w:ascii="Tahoma" w:hAnsi="Tahoma" w:cs="Tahoma"/>
          <w:sz w:val="22"/>
          <w:szCs w:val="22"/>
        </w:rPr>
        <w:t>u iznosu od 16.604.879 EUR</w:t>
      </w:r>
      <w:r w:rsidRPr="00853F1F">
        <w:rPr>
          <w:rFonts w:ascii="Tahoma" w:hAnsi="Tahoma" w:cs="Tahoma"/>
          <w:sz w:val="22"/>
          <w:szCs w:val="22"/>
        </w:rPr>
        <w:t xml:space="preserve"> (Uputa Ministarstva financija od 13.</w:t>
      </w:r>
      <w:r w:rsidR="005C0007" w:rsidRPr="00853F1F">
        <w:rPr>
          <w:rFonts w:ascii="Tahoma" w:hAnsi="Tahoma" w:cs="Tahoma"/>
          <w:sz w:val="22"/>
          <w:szCs w:val="22"/>
        </w:rPr>
        <w:t xml:space="preserve"> </w:t>
      </w:r>
      <w:r w:rsidRPr="00853F1F">
        <w:rPr>
          <w:rFonts w:ascii="Tahoma" w:hAnsi="Tahoma" w:cs="Tahoma"/>
          <w:sz w:val="22"/>
          <w:szCs w:val="22"/>
        </w:rPr>
        <w:t>studenog 2023. godine)</w:t>
      </w:r>
      <w:r w:rsidR="005C0007" w:rsidRPr="00853F1F">
        <w:rPr>
          <w:rFonts w:ascii="Tahoma" w:hAnsi="Tahoma" w:cs="Tahoma"/>
          <w:sz w:val="22"/>
          <w:szCs w:val="22"/>
        </w:rPr>
        <w:t>.</w:t>
      </w:r>
    </w:p>
    <w:p w:rsidR="00A9347F" w:rsidRDefault="00A9347F" w:rsidP="00A9347F">
      <w:pPr>
        <w:pStyle w:val="PlainText"/>
        <w:rPr>
          <w:rFonts w:ascii="Tahoma" w:hAnsi="Tahoma" w:cs="Tahoma"/>
          <w:b/>
          <w:sz w:val="22"/>
          <w:szCs w:val="22"/>
        </w:rPr>
      </w:pPr>
    </w:p>
    <w:p w:rsidR="00344F3A" w:rsidRDefault="00344F3A" w:rsidP="00A9347F">
      <w:pPr>
        <w:pStyle w:val="PlainText"/>
        <w:rPr>
          <w:rFonts w:ascii="Tahoma" w:hAnsi="Tahoma" w:cs="Tahoma"/>
          <w:b/>
          <w:sz w:val="22"/>
          <w:szCs w:val="22"/>
        </w:rPr>
      </w:pPr>
    </w:p>
    <w:p w:rsidR="00344F3A" w:rsidRPr="00A2782A" w:rsidRDefault="00344F3A" w:rsidP="00A9347F">
      <w:pPr>
        <w:pStyle w:val="PlainText"/>
        <w:rPr>
          <w:rFonts w:ascii="Tahoma" w:hAnsi="Tahoma" w:cs="Tahoma"/>
          <w:b/>
          <w:sz w:val="22"/>
          <w:szCs w:val="22"/>
        </w:rPr>
      </w:pPr>
    </w:p>
    <w:p w:rsidR="00A9347F" w:rsidRPr="00A2782A" w:rsidRDefault="00A9347F" w:rsidP="00A9347F">
      <w:pPr>
        <w:pStyle w:val="Heading2"/>
        <w:numPr>
          <w:ilvl w:val="0"/>
          <w:numId w:val="7"/>
        </w:numPr>
        <w:ind w:left="709" w:hanging="709"/>
        <w:jc w:val="left"/>
        <w:rPr>
          <w:rFonts w:ascii="Tahoma" w:hAnsi="Tahoma" w:cs="Tahoma"/>
          <w:sz w:val="22"/>
          <w:szCs w:val="22"/>
        </w:rPr>
      </w:pPr>
      <w:r w:rsidRPr="00A2782A">
        <w:rPr>
          <w:rFonts w:ascii="Tahoma" w:hAnsi="Tahoma" w:cs="Tahoma"/>
          <w:sz w:val="22"/>
          <w:szCs w:val="22"/>
        </w:rPr>
        <w:t>IZVJEŠTAJ O PROMJENAMA U VRIJEDNOSTI I OBUJMU IMOVINE I OBVEZA ZA RAZDOBLJE OD 1. SIJEČNJA DO 31. PROSINCA 2023. GODINE</w:t>
      </w:r>
    </w:p>
    <w:p w:rsidR="00A9347F" w:rsidRPr="00A2782A" w:rsidRDefault="00A9347F" w:rsidP="00A9347F"/>
    <w:p w:rsidR="00A9347F" w:rsidRPr="00A2782A" w:rsidRDefault="00A9347F" w:rsidP="00A9347F">
      <w:pPr>
        <w:jc w:val="both"/>
        <w:rPr>
          <w:rFonts w:ascii="Tahoma" w:hAnsi="Tahoma" w:cs="Tahoma"/>
          <w:sz w:val="22"/>
          <w:szCs w:val="22"/>
        </w:rPr>
      </w:pPr>
      <w:r w:rsidRPr="00A2782A">
        <w:rPr>
          <w:rFonts w:ascii="Tahoma" w:hAnsi="Tahoma" w:cs="Tahoma"/>
          <w:sz w:val="22"/>
          <w:szCs w:val="22"/>
        </w:rPr>
        <w:t>Bilješke uz obrazac Izvještaj o promjenama u vrijednosti i obujmu imovine i obveza za razdoblje siječanj-prosinac 202</w:t>
      </w:r>
      <w:r w:rsidR="00E634E9">
        <w:rPr>
          <w:rFonts w:ascii="Tahoma" w:hAnsi="Tahoma" w:cs="Tahoma"/>
          <w:sz w:val="22"/>
          <w:szCs w:val="22"/>
        </w:rPr>
        <w:t>3</w:t>
      </w:r>
      <w:bookmarkStart w:id="3" w:name="_GoBack"/>
      <w:bookmarkEnd w:id="3"/>
      <w:r w:rsidRPr="00A2782A">
        <w:rPr>
          <w:rFonts w:ascii="Tahoma" w:hAnsi="Tahoma" w:cs="Tahoma"/>
          <w:sz w:val="22"/>
          <w:szCs w:val="22"/>
        </w:rPr>
        <w:t>. godine izrađene su sukladno Pravilniku o financijskom izvještavanju u proračunskom računovodstvu (NN 37/22) kao sastavni dio financijskog izvještaja za predmetno razdoblje.</w:t>
      </w:r>
    </w:p>
    <w:p w:rsidR="00A9347F" w:rsidRPr="00A2782A" w:rsidRDefault="00A9347F" w:rsidP="00A9347F">
      <w:pPr>
        <w:pStyle w:val="PlainText"/>
        <w:rPr>
          <w:rFonts w:ascii="Tahoma" w:hAnsi="Tahoma" w:cs="Tahoma"/>
          <w:b/>
          <w:sz w:val="22"/>
          <w:szCs w:val="22"/>
        </w:rPr>
      </w:pPr>
    </w:p>
    <w:p w:rsidR="00A9347F" w:rsidRPr="00A2782A" w:rsidRDefault="00A9347F" w:rsidP="00A9347F">
      <w:pPr>
        <w:pStyle w:val="PlainText"/>
        <w:rPr>
          <w:rFonts w:ascii="Tahoma" w:hAnsi="Tahoma" w:cs="Tahoma"/>
          <w:sz w:val="22"/>
          <w:szCs w:val="22"/>
        </w:rPr>
      </w:pPr>
      <w:r w:rsidRPr="00A2782A">
        <w:rPr>
          <w:rFonts w:ascii="Tahoma" w:hAnsi="Tahoma" w:cs="Tahoma"/>
          <w:b/>
          <w:sz w:val="22"/>
          <w:szCs w:val="22"/>
          <w:u w:val="single"/>
        </w:rPr>
        <w:t>Promjene u vrijednosti (revalorizacija) imovine (Račun 91511 – Šifra P003)</w:t>
      </w:r>
      <w:r w:rsidRPr="00A2782A">
        <w:rPr>
          <w:rFonts w:ascii="Tahoma" w:hAnsi="Tahoma" w:cs="Tahoma"/>
          <w:sz w:val="22"/>
          <w:szCs w:val="22"/>
        </w:rPr>
        <w:t xml:space="preserve"> za razdoblje siječanj - prosinac 2023. godine iskazane su na poziciji povećanje u iznosu od 36.979 EUR i na poziciji  smanjenje u iznosu od 3.465 EUR. </w:t>
      </w:r>
    </w:p>
    <w:p w:rsidR="00A9347F" w:rsidRPr="00A2782A" w:rsidRDefault="00A9347F" w:rsidP="00A9347F">
      <w:pPr>
        <w:pStyle w:val="PlainText"/>
        <w:rPr>
          <w:rFonts w:ascii="Tahoma" w:hAnsi="Tahoma" w:cs="Tahoma"/>
          <w:sz w:val="22"/>
          <w:szCs w:val="22"/>
        </w:rPr>
      </w:pPr>
    </w:p>
    <w:p w:rsidR="00A9347F" w:rsidRPr="00A2782A" w:rsidRDefault="00A9347F" w:rsidP="00A9347F">
      <w:pPr>
        <w:pStyle w:val="PlainText"/>
        <w:jc w:val="both"/>
        <w:rPr>
          <w:rFonts w:ascii="Tahoma" w:hAnsi="Tahoma" w:cs="Tahoma"/>
          <w:sz w:val="22"/>
          <w:szCs w:val="22"/>
        </w:rPr>
      </w:pPr>
      <w:r w:rsidRPr="00A2782A">
        <w:rPr>
          <w:rFonts w:ascii="Tahoma" w:hAnsi="Tahoma" w:cs="Tahoma"/>
          <w:sz w:val="22"/>
          <w:szCs w:val="22"/>
        </w:rPr>
        <w:t>Smanjenje se odnosi na otpis proizvedene dugotrajne imovine koja nije za upotrebu, a povećanje na primljene dekontaminacijske šatore u vrijednosti od 36.979 EUR.</w:t>
      </w:r>
    </w:p>
    <w:p w:rsidR="00A9347F" w:rsidRPr="00A2782A" w:rsidRDefault="00A9347F" w:rsidP="00A9347F">
      <w:pPr>
        <w:pStyle w:val="PlainText"/>
        <w:jc w:val="both"/>
        <w:rPr>
          <w:rFonts w:ascii="Tahoma" w:hAnsi="Tahoma" w:cs="Tahoma"/>
          <w:sz w:val="22"/>
          <w:szCs w:val="22"/>
        </w:rPr>
      </w:pPr>
    </w:p>
    <w:p w:rsidR="00A9347F" w:rsidRPr="00A2782A" w:rsidRDefault="00A9347F" w:rsidP="00A9347F">
      <w:pPr>
        <w:pStyle w:val="PlainText"/>
        <w:rPr>
          <w:rFonts w:ascii="Tahoma" w:hAnsi="Tahoma" w:cs="Tahoma"/>
          <w:sz w:val="22"/>
          <w:szCs w:val="22"/>
        </w:rPr>
      </w:pPr>
      <w:r w:rsidRPr="00A2782A">
        <w:rPr>
          <w:rFonts w:ascii="Tahoma" w:hAnsi="Tahoma" w:cs="Tahoma"/>
          <w:b/>
          <w:sz w:val="22"/>
          <w:szCs w:val="22"/>
          <w:u w:val="single"/>
        </w:rPr>
        <w:t>Promjene u obujmu imovine (Račun 91512 – Šifra P022)</w:t>
      </w:r>
      <w:r w:rsidRPr="00A2782A">
        <w:rPr>
          <w:rFonts w:ascii="Tahoma" w:hAnsi="Tahoma" w:cs="Tahoma"/>
          <w:sz w:val="22"/>
          <w:szCs w:val="22"/>
        </w:rPr>
        <w:t xml:space="preserve"> za razdoblje siječanj - prosinac 2023. godine iskazane su na poziciji povećanja u iznosu od 70.317 EUR. </w:t>
      </w:r>
    </w:p>
    <w:p w:rsidR="00A9347F" w:rsidRPr="00A2782A" w:rsidRDefault="00A9347F" w:rsidP="00A9347F">
      <w:pPr>
        <w:pStyle w:val="PlainText"/>
        <w:rPr>
          <w:rFonts w:ascii="Tahoma" w:hAnsi="Tahoma" w:cs="Tahoma"/>
          <w:sz w:val="22"/>
          <w:szCs w:val="22"/>
        </w:rPr>
      </w:pPr>
    </w:p>
    <w:p w:rsidR="00A9347F" w:rsidRDefault="00A9347F" w:rsidP="00A9347F">
      <w:pPr>
        <w:pStyle w:val="PlainText"/>
        <w:jc w:val="both"/>
        <w:rPr>
          <w:rFonts w:ascii="Tahoma" w:hAnsi="Tahoma" w:cs="Tahoma"/>
          <w:sz w:val="22"/>
          <w:szCs w:val="22"/>
        </w:rPr>
      </w:pPr>
      <w:r w:rsidRPr="00A2782A">
        <w:rPr>
          <w:rFonts w:ascii="Tahoma" w:hAnsi="Tahoma" w:cs="Tahoma"/>
          <w:sz w:val="22"/>
          <w:szCs w:val="22"/>
        </w:rPr>
        <w:t>Promjena se odnosi na povećanje proizvedene kratkotrajne imovine u iznosu od 70.317 EUR na ime primljene pomoći u medicinskom potrošnom materijalu.</w:t>
      </w:r>
    </w:p>
    <w:p w:rsidR="0082235E" w:rsidRDefault="0082235E" w:rsidP="0082235E">
      <w:pPr>
        <w:pStyle w:val="PlainText"/>
        <w:jc w:val="both"/>
        <w:rPr>
          <w:rFonts w:ascii="Tahoma" w:hAnsi="Tahoma" w:cs="Tahoma"/>
          <w:sz w:val="22"/>
          <w:szCs w:val="22"/>
        </w:rPr>
      </w:pPr>
    </w:p>
    <w:p w:rsidR="0082235E" w:rsidRDefault="0082235E"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7A6A85" w:rsidRDefault="007A6A85" w:rsidP="0082235E">
      <w:pPr>
        <w:pStyle w:val="PlainText"/>
        <w:rPr>
          <w:rFonts w:ascii="Tahoma" w:hAnsi="Tahoma" w:cs="Tahoma"/>
          <w:sz w:val="22"/>
          <w:szCs w:val="22"/>
        </w:rPr>
      </w:pPr>
    </w:p>
    <w:p w:rsidR="00344F3A" w:rsidRPr="00E75215" w:rsidRDefault="00344F3A" w:rsidP="0082235E">
      <w:pPr>
        <w:pStyle w:val="PlainText"/>
        <w:rPr>
          <w:rFonts w:ascii="Tahoma" w:hAnsi="Tahoma" w:cs="Tahoma"/>
          <w:sz w:val="22"/>
          <w:szCs w:val="22"/>
        </w:rPr>
      </w:pPr>
    </w:p>
    <w:p w:rsidR="0082235E" w:rsidRPr="00A2782A" w:rsidRDefault="0082235E" w:rsidP="0082235E">
      <w:pPr>
        <w:pStyle w:val="Heading2"/>
        <w:numPr>
          <w:ilvl w:val="0"/>
          <w:numId w:val="7"/>
        </w:numPr>
        <w:ind w:left="709" w:hanging="709"/>
        <w:jc w:val="left"/>
        <w:rPr>
          <w:rFonts w:ascii="Tahoma" w:hAnsi="Tahoma" w:cs="Tahoma"/>
          <w:sz w:val="22"/>
          <w:szCs w:val="22"/>
        </w:rPr>
      </w:pPr>
      <w:r w:rsidRPr="00A2782A">
        <w:rPr>
          <w:rFonts w:ascii="Tahoma" w:hAnsi="Tahoma" w:cs="Tahoma"/>
          <w:sz w:val="22"/>
          <w:szCs w:val="22"/>
        </w:rPr>
        <w:lastRenderedPageBreak/>
        <w:t>IZVJEŠTAJ O OBVEZAMA ZA RAZDOBLJE SIJEČANJ-PROSINAC 2023. GODINE</w:t>
      </w:r>
    </w:p>
    <w:p w:rsidR="0082235E" w:rsidRPr="00A2782A" w:rsidRDefault="0082235E" w:rsidP="0082235E">
      <w:pPr>
        <w:pStyle w:val="PlainText"/>
        <w:rPr>
          <w:rFonts w:ascii="Tahoma" w:hAnsi="Tahoma" w:cs="Tahoma"/>
          <w:b/>
          <w:sz w:val="22"/>
          <w:szCs w:val="22"/>
          <w:u w:val="single"/>
        </w:rPr>
      </w:pPr>
    </w:p>
    <w:p w:rsidR="0082235E" w:rsidRPr="00A2782A" w:rsidRDefault="0082235E" w:rsidP="0082235E">
      <w:pPr>
        <w:jc w:val="both"/>
        <w:rPr>
          <w:rFonts w:ascii="Tahoma" w:hAnsi="Tahoma" w:cs="Tahoma"/>
          <w:sz w:val="22"/>
          <w:szCs w:val="22"/>
        </w:rPr>
      </w:pPr>
      <w:r w:rsidRPr="00A2782A">
        <w:rPr>
          <w:rFonts w:ascii="Tahoma" w:hAnsi="Tahoma" w:cs="Tahoma"/>
          <w:sz w:val="22"/>
          <w:szCs w:val="22"/>
        </w:rPr>
        <w:t>Bilješke uz obrazac Izvještaj o obvezama za razdoblje siječanj-prosinac 2023. godine izrađene su sukladno Pravilniku o financijskom izvještavanju u proračunskom računovodstvu (NN 37/22) kao sastavni dio financijskog izvještaja za predmetno razdoblje.</w:t>
      </w:r>
    </w:p>
    <w:p w:rsidR="0082235E" w:rsidRPr="00A2782A" w:rsidRDefault="0082235E" w:rsidP="0082235E">
      <w:pPr>
        <w:jc w:val="both"/>
        <w:rPr>
          <w:rFonts w:ascii="Tahoma" w:hAnsi="Tahoma" w:cs="Tahoma"/>
          <w:sz w:val="22"/>
          <w:szCs w:val="22"/>
        </w:rPr>
      </w:pPr>
    </w:p>
    <w:p w:rsidR="0082235E" w:rsidRPr="00A2782A" w:rsidRDefault="0082235E" w:rsidP="0082235E">
      <w:pPr>
        <w:pStyle w:val="ListParagraph"/>
        <w:numPr>
          <w:ilvl w:val="0"/>
          <w:numId w:val="15"/>
        </w:numPr>
        <w:rPr>
          <w:rFonts w:ascii="Tahoma" w:hAnsi="Tahoma" w:cs="Tahoma"/>
          <w:b/>
          <w:sz w:val="22"/>
          <w:szCs w:val="22"/>
        </w:rPr>
      </w:pPr>
      <w:r w:rsidRPr="00A2782A">
        <w:rPr>
          <w:rFonts w:ascii="Tahoma" w:hAnsi="Tahoma" w:cs="Tahoma"/>
          <w:b/>
          <w:sz w:val="22"/>
          <w:szCs w:val="22"/>
        </w:rPr>
        <w:t>STANJE OBVEZA 1. SIJEČNJA (Šifra V001)</w:t>
      </w:r>
    </w:p>
    <w:p w:rsidR="0082235E" w:rsidRPr="00A2782A" w:rsidRDefault="0082235E" w:rsidP="0082235E">
      <w:pPr>
        <w:pStyle w:val="PlainText"/>
        <w:rPr>
          <w:rFonts w:ascii="Tahoma" w:hAnsi="Tahoma" w:cs="Tahoma"/>
          <w:b/>
          <w:sz w:val="22"/>
          <w:szCs w:val="22"/>
        </w:rPr>
      </w:pPr>
    </w:p>
    <w:p w:rsidR="0082235E" w:rsidRPr="00A2782A" w:rsidRDefault="0082235E" w:rsidP="0082235E">
      <w:pPr>
        <w:pStyle w:val="PlainText"/>
        <w:jc w:val="both"/>
        <w:rPr>
          <w:rFonts w:ascii="Tahoma" w:eastAsia="Times New Roman" w:hAnsi="Tahoma" w:cs="Tahoma"/>
          <w:sz w:val="22"/>
          <w:szCs w:val="22"/>
        </w:rPr>
      </w:pPr>
      <w:r w:rsidRPr="00A2782A">
        <w:rPr>
          <w:rFonts w:ascii="Tahoma" w:eastAsia="Times New Roman" w:hAnsi="Tahoma" w:cs="Tahoma"/>
          <w:sz w:val="22"/>
          <w:szCs w:val="22"/>
        </w:rPr>
        <w:t>Stanje obveza na početku izvještajnog razdoblja u iznosu od 268.485.901 EUR razlikuje se za 2,12 EUR od stanja obveza na dan 31.12.2022. godine zbog usklađivanja svih analitičkih računa sa računima u glavnoj knjizi koje su nastale radi preračunavanja iznosa iz kuna u eure i uspostavljanja bilančne ravnoteže.</w:t>
      </w:r>
    </w:p>
    <w:p w:rsidR="0082235E" w:rsidRPr="00A2782A" w:rsidRDefault="0082235E" w:rsidP="0082235E">
      <w:pPr>
        <w:pStyle w:val="PlainText"/>
        <w:jc w:val="both"/>
        <w:rPr>
          <w:rFonts w:ascii="Tahoma" w:eastAsia="Times New Roman" w:hAnsi="Tahoma" w:cs="Tahoma"/>
          <w:sz w:val="22"/>
          <w:szCs w:val="22"/>
        </w:rPr>
      </w:pPr>
    </w:p>
    <w:p w:rsidR="0082235E" w:rsidRPr="00A2782A" w:rsidRDefault="0082235E" w:rsidP="0082235E">
      <w:pPr>
        <w:pStyle w:val="PlainText"/>
        <w:rPr>
          <w:rFonts w:ascii="Tahoma" w:eastAsia="Times New Roman" w:hAnsi="Tahoma" w:cs="Tahoma"/>
          <w:sz w:val="22"/>
          <w:szCs w:val="22"/>
        </w:rPr>
      </w:pPr>
    </w:p>
    <w:p w:rsidR="0082235E" w:rsidRPr="00A2782A" w:rsidRDefault="0082235E" w:rsidP="0082235E">
      <w:pPr>
        <w:pStyle w:val="PlainText"/>
        <w:numPr>
          <w:ilvl w:val="0"/>
          <w:numId w:val="15"/>
        </w:numPr>
        <w:rPr>
          <w:rFonts w:ascii="Tahoma" w:hAnsi="Tahoma" w:cs="Tahoma"/>
          <w:b/>
          <w:sz w:val="22"/>
          <w:szCs w:val="22"/>
        </w:rPr>
      </w:pPr>
      <w:r w:rsidRPr="00A2782A">
        <w:rPr>
          <w:rFonts w:ascii="Tahoma" w:hAnsi="Tahoma" w:cs="Tahoma"/>
          <w:b/>
          <w:sz w:val="22"/>
          <w:szCs w:val="22"/>
        </w:rPr>
        <w:t>STANJE OBVEZA NA KRAJU IZVJEŠTAJNOG RAZDOBLJA (Šifra V006)</w:t>
      </w:r>
    </w:p>
    <w:p w:rsidR="0082235E" w:rsidRPr="00A2782A" w:rsidRDefault="0082235E" w:rsidP="0082235E">
      <w:pPr>
        <w:pStyle w:val="PlainText"/>
        <w:rPr>
          <w:rFonts w:ascii="Tahoma" w:hAnsi="Tahoma" w:cs="Tahoma"/>
          <w:b/>
          <w:sz w:val="22"/>
          <w:szCs w:val="22"/>
        </w:rPr>
      </w:pPr>
    </w:p>
    <w:p w:rsidR="0082235E" w:rsidRDefault="0082235E" w:rsidP="0082235E">
      <w:pPr>
        <w:pStyle w:val="PlainText"/>
        <w:jc w:val="both"/>
        <w:rPr>
          <w:rFonts w:ascii="Tahoma" w:hAnsi="Tahoma" w:cs="Tahoma"/>
          <w:sz w:val="22"/>
          <w:szCs w:val="22"/>
        </w:rPr>
      </w:pPr>
      <w:r w:rsidRPr="00A2782A">
        <w:rPr>
          <w:rFonts w:ascii="Tahoma" w:hAnsi="Tahoma" w:cs="Tahoma"/>
          <w:sz w:val="22"/>
          <w:szCs w:val="22"/>
        </w:rPr>
        <w:t>Stanje obveza na kraju izvještajnog razdoblja iznosi 240.279.695 EUR. Smanjenje obveza u odnosu na isto razdoblje prethodne godine iznosi 10,5% (obveze na kraju izvještajnog razdoblja siječanj-prosinac 2022. godine iznosile su 268.485.903 EUR). Struktura obveza na dan 31. prosinca 2023. godine dana je kako slijedi:</w:t>
      </w:r>
    </w:p>
    <w:p w:rsidR="0082235E" w:rsidRPr="00A2782A" w:rsidRDefault="0082235E" w:rsidP="0082235E">
      <w:pPr>
        <w:pStyle w:val="PlainText"/>
        <w:jc w:val="both"/>
        <w:rPr>
          <w:rFonts w:ascii="Tahoma" w:hAnsi="Tahoma" w:cs="Tahoma"/>
          <w:sz w:val="22"/>
          <w:szCs w:val="22"/>
        </w:rPr>
      </w:pPr>
    </w:p>
    <w:tbl>
      <w:tblPr>
        <w:tblW w:w="7661" w:type="dxa"/>
        <w:jc w:val="center"/>
        <w:tblLook w:val="04A0" w:firstRow="1" w:lastRow="0" w:firstColumn="1" w:lastColumn="0" w:noHBand="0" w:noVBand="1"/>
      </w:tblPr>
      <w:tblGrid>
        <w:gridCol w:w="5641"/>
        <w:gridCol w:w="2020"/>
      </w:tblGrid>
      <w:tr w:rsidR="0082235E" w:rsidRPr="00A2782A" w:rsidTr="004E687E">
        <w:trPr>
          <w:trHeight w:val="495"/>
          <w:jc w:val="center"/>
        </w:trPr>
        <w:tc>
          <w:tcPr>
            <w:tcW w:w="564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2235E" w:rsidRPr="00A2782A" w:rsidRDefault="0082235E" w:rsidP="004E687E">
            <w:pPr>
              <w:jc w:val="center"/>
              <w:rPr>
                <w:rFonts w:ascii="Tahoma" w:hAnsi="Tahoma" w:cs="Tahoma"/>
                <w:b/>
                <w:bCs/>
                <w:color w:val="000000"/>
                <w:sz w:val="18"/>
                <w:szCs w:val="18"/>
                <w:lang w:eastAsia="hr-HR"/>
              </w:rPr>
            </w:pPr>
            <w:r w:rsidRPr="00A2782A">
              <w:rPr>
                <w:rFonts w:ascii="Tahoma" w:hAnsi="Tahoma" w:cs="Tahoma"/>
                <w:b/>
                <w:bCs/>
                <w:color w:val="000000"/>
                <w:sz w:val="18"/>
                <w:szCs w:val="18"/>
              </w:rPr>
              <w:t>O P I S</w:t>
            </w:r>
          </w:p>
        </w:tc>
        <w:tc>
          <w:tcPr>
            <w:tcW w:w="2020" w:type="dxa"/>
            <w:tcBorders>
              <w:top w:val="single" w:sz="4" w:space="0" w:color="auto"/>
              <w:left w:val="nil"/>
              <w:bottom w:val="single" w:sz="8" w:space="0" w:color="auto"/>
              <w:right w:val="single" w:sz="4" w:space="0" w:color="auto"/>
            </w:tcBorders>
            <w:shd w:val="clear" w:color="auto" w:fill="auto"/>
            <w:vAlign w:val="center"/>
            <w:hideMark/>
          </w:tcPr>
          <w:p w:rsidR="0082235E" w:rsidRPr="00A2782A" w:rsidRDefault="0082235E" w:rsidP="004E687E">
            <w:pPr>
              <w:jc w:val="center"/>
              <w:rPr>
                <w:rFonts w:ascii="Tahoma" w:hAnsi="Tahoma" w:cs="Tahoma"/>
                <w:b/>
                <w:bCs/>
                <w:sz w:val="18"/>
                <w:szCs w:val="18"/>
              </w:rPr>
            </w:pPr>
            <w:r w:rsidRPr="00A2782A">
              <w:rPr>
                <w:rFonts w:ascii="Tahoma" w:hAnsi="Tahoma" w:cs="Tahoma"/>
                <w:b/>
                <w:bCs/>
                <w:sz w:val="18"/>
                <w:szCs w:val="18"/>
              </w:rPr>
              <w:t>Ukupne obveze na dan 31.12.2023.</w:t>
            </w:r>
          </w:p>
        </w:tc>
      </w:tr>
      <w:tr w:rsidR="0082235E" w:rsidRPr="00A2782A" w:rsidTr="004E687E">
        <w:trPr>
          <w:trHeight w:val="300"/>
          <w:jc w:val="center"/>
        </w:trPr>
        <w:tc>
          <w:tcPr>
            <w:tcW w:w="5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35E" w:rsidRPr="00A2782A" w:rsidRDefault="0082235E" w:rsidP="004E687E">
            <w:pPr>
              <w:rPr>
                <w:rFonts w:ascii="Tahoma" w:hAnsi="Tahoma" w:cs="Tahoma"/>
                <w:color w:val="000000"/>
                <w:sz w:val="20"/>
                <w:szCs w:val="20"/>
              </w:rPr>
            </w:pPr>
            <w:r w:rsidRPr="00A2782A">
              <w:rPr>
                <w:rFonts w:ascii="Tahoma" w:hAnsi="Tahoma" w:cs="Tahoma"/>
                <w:color w:val="000000"/>
                <w:sz w:val="20"/>
                <w:szCs w:val="20"/>
              </w:rPr>
              <w:t>Za lijekove</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lang w:eastAsia="hr-HR"/>
              </w:rPr>
            </w:pPr>
            <w:r w:rsidRPr="00A2782A">
              <w:rPr>
                <w:rFonts w:ascii="Tahoma" w:hAnsi="Tahoma" w:cs="Tahoma"/>
                <w:color w:val="000000"/>
                <w:sz w:val="18"/>
                <w:szCs w:val="18"/>
              </w:rPr>
              <w:t>94.581.574</w:t>
            </w:r>
          </w:p>
        </w:tc>
      </w:tr>
      <w:tr w:rsidR="0082235E" w:rsidRPr="00A2782A" w:rsidTr="004E687E">
        <w:trPr>
          <w:trHeight w:val="301"/>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82235E" w:rsidRPr="00A2782A" w:rsidRDefault="0082235E" w:rsidP="004E687E">
            <w:pPr>
              <w:rPr>
                <w:rFonts w:ascii="Tahoma" w:hAnsi="Tahoma" w:cs="Tahoma"/>
                <w:color w:val="000000"/>
                <w:sz w:val="20"/>
                <w:szCs w:val="20"/>
              </w:rPr>
            </w:pPr>
            <w:r w:rsidRPr="00A2782A">
              <w:rPr>
                <w:rFonts w:ascii="Tahoma" w:hAnsi="Tahoma" w:cs="Tahoma"/>
                <w:color w:val="000000"/>
                <w:sz w:val="20"/>
                <w:szCs w:val="20"/>
              </w:rPr>
              <w:t>Za sanitetski materijal, krvi i krvne derivate i sl.</w:t>
            </w:r>
          </w:p>
        </w:tc>
        <w:tc>
          <w:tcPr>
            <w:tcW w:w="2020" w:type="dxa"/>
            <w:tcBorders>
              <w:top w:val="nil"/>
              <w:left w:val="nil"/>
              <w:bottom w:val="single" w:sz="4" w:space="0" w:color="auto"/>
              <w:right w:val="single" w:sz="4" w:space="0" w:color="auto"/>
            </w:tcBorders>
            <w:shd w:val="clear" w:color="auto" w:fill="auto"/>
            <w:noWrap/>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34.184.528</w:t>
            </w:r>
          </w:p>
        </w:tc>
      </w:tr>
      <w:tr w:rsidR="0082235E" w:rsidRPr="00A2782A" w:rsidTr="004E687E">
        <w:trPr>
          <w:trHeight w:val="300"/>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82235E" w:rsidRPr="00A2782A" w:rsidRDefault="0082235E" w:rsidP="004E687E">
            <w:pPr>
              <w:rPr>
                <w:rFonts w:ascii="Tahoma" w:hAnsi="Tahoma" w:cs="Tahoma"/>
                <w:color w:val="000000"/>
                <w:sz w:val="20"/>
                <w:szCs w:val="20"/>
              </w:rPr>
            </w:pPr>
            <w:r w:rsidRPr="00A2782A">
              <w:rPr>
                <w:rFonts w:ascii="Tahoma" w:hAnsi="Tahoma" w:cs="Tahoma"/>
                <w:color w:val="000000"/>
                <w:sz w:val="20"/>
                <w:szCs w:val="20"/>
              </w:rPr>
              <w:t>Za živežne namirnice</w:t>
            </w:r>
          </w:p>
        </w:tc>
        <w:tc>
          <w:tcPr>
            <w:tcW w:w="2020" w:type="dxa"/>
            <w:tcBorders>
              <w:top w:val="nil"/>
              <w:left w:val="nil"/>
              <w:bottom w:val="single" w:sz="4"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240.990</w:t>
            </w:r>
          </w:p>
        </w:tc>
      </w:tr>
      <w:tr w:rsidR="0082235E" w:rsidRPr="00A2782A" w:rsidTr="004E687E">
        <w:trPr>
          <w:trHeight w:val="300"/>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82235E" w:rsidRPr="00A2782A" w:rsidRDefault="0082235E" w:rsidP="004E687E">
            <w:pPr>
              <w:rPr>
                <w:rFonts w:ascii="Tahoma" w:hAnsi="Tahoma" w:cs="Tahoma"/>
                <w:color w:val="000000"/>
                <w:sz w:val="20"/>
                <w:szCs w:val="20"/>
              </w:rPr>
            </w:pPr>
            <w:r w:rsidRPr="00A2782A">
              <w:rPr>
                <w:rFonts w:ascii="Tahoma" w:hAnsi="Tahoma" w:cs="Tahoma"/>
                <w:color w:val="000000"/>
                <w:sz w:val="20"/>
                <w:szCs w:val="20"/>
              </w:rPr>
              <w:t>Za energiju</w:t>
            </w:r>
          </w:p>
        </w:tc>
        <w:tc>
          <w:tcPr>
            <w:tcW w:w="2020" w:type="dxa"/>
            <w:tcBorders>
              <w:top w:val="nil"/>
              <w:left w:val="nil"/>
              <w:bottom w:val="single" w:sz="4"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769.319</w:t>
            </w:r>
          </w:p>
        </w:tc>
      </w:tr>
      <w:tr w:rsidR="0082235E" w:rsidRPr="00A2782A" w:rsidTr="004E687E">
        <w:trPr>
          <w:trHeight w:val="330"/>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82235E" w:rsidRPr="00A2782A" w:rsidRDefault="0082235E" w:rsidP="004E687E">
            <w:pPr>
              <w:rPr>
                <w:rFonts w:ascii="Tahoma" w:hAnsi="Tahoma" w:cs="Tahoma"/>
                <w:color w:val="000000"/>
                <w:sz w:val="20"/>
                <w:szCs w:val="20"/>
              </w:rPr>
            </w:pPr>
            <w:r w:rsidRPr="00A2782A">
              <w:rPr>
                <w:rFonts w:ascii="Tahoma" w:hAnsi="Tahoma" w:cs="Tahoma"/>
                <w:color w:val="000000"/>
                <w:sz w:val="20"/>
                <w:szCs w:val="20"/>
              </w:rPr>
              <w:t>Za ostale materijale i reprodukcijski  materijal</w:t>
            </w:r>
          </w:p>
        </w:tc>
        <w:tc>
          <w:tcPr>
            <w:tcW w:w="2020" w:type="dxa"/>
            <w:tcBorders>
              <w:top w:val="nil"/>
              <w:left w:val="nil"/>
              <w:bottom w:val="single" w:sz="4"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157.298</w:t>
            </w:r>
          </w:p>
        </w:tc>
      </w:tr>
      <w:tr w:rsidR="0082235E" w:rsidRPr="00A2782A" w:rsidTr="004E687E">
        <w:trPr>
          <w:trHeight w:val="300"/>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82235E" w:rsidRPr="00A2782A" w:rsidRDefault="0082235E" w:rsidP="004E687E">
            <w:pPr>
              <w:rPr>
                <w:rFonts w:ascii="Tahoma" w:hAnsi="Tahoma" w:cs="Tahoma"/>
                <w:color w:val="000000"/>
                <w:sz w:val="20"/>
                <w:szCs w:val="20"/>
              </w:rPr>
            </w:pPr>
            <w:r w:rsidRPr="00A2782A">
              <w:rPr>
                <w:rFonts w:ascii="Tahoma" w:hAnsi="Tahoma" w:cs="Tahoma"/>
                <w:color w:val="000000"/>
                <w:sz w:val="20"/>
                <w:szCs w:val="20"/>
              </w:rPr>
              <w:t>Za proizvodne i neproizvodne usluge</w:t>
            </w:r>
          </w:p>
        </w:tc>
        <w:tc>
          <w:tcPr>
            <w:tcW w:w="2020" w:type="dxa"/>
            <w:tcBorders>
              <w:top w:val="nil"/>
              <w:left w:val="nil"/>
              <w:bottom w:val="single" w:sz="4" w:space="0" w:color="auto"/>
              <w:right w:val="single" w:sz="4" w:space="0" w:color="auto"/>
            </w:tcBorders>
            <w:shd w:val="clear" w:color="auto" w:fill="auto"/>
            <w:noWrap/>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3.533.397</w:t>
            </w:r>
          </w:p>
        </w:tc>
      </w:tr>
      <w:tr w:rsidR="0082235E" w:rsidRPr="00A2782A" w:rsidTr="004E687E">
        <w:trPr>
          <w:trHeight w:val="300"/>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82235E" w:rsidRPr="00A2782A" w:rsidRDefault="0082235E" w:rsidP="004E687E">
            <w:pPr>
              <w:rPr>
                <w:rFonts w:ascii="Tahoma" w:hAnsi="Tahoma" w:cs="Tahoma"/>
                <w:color w:val="000000"/>
                <w:sz w:val="20"/>
                <w:szCs w:val="20"/>
              </w:rPr>
            </w:pPr>
            <w:r w:rsidRPr="00A2782A">
              <w:rPr>
                <w:rFonts w:ascii="Tahoma" w:hAnsi="Tahoma" w:cs="Tahoma"/>
                <w:color w:val="000000"/>
                <w:sz w:val="20"/>
                <w:szCs w:val="20"/>
              </w:rPr>
              <w:t>Za opremu (osnovna sredstva)</w:t>
            </w:r>
          </w:p>
        </w:tc>
        <w:tc>
          <w:tcPr>
            <w:tcW w:w="2020" w:type="dxa"/>
            <w:tcBorders>
              <w:top w:val="nil"/>
              <w:left w:val="nil"/>
              <w:bottom w:val="single" w:sz="4"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16.563.695</w:t>
            </w:r>
          </w:p>
        </w:tc>
      </w:tr>
      <w:tr w:rsidR="0082235E" w:rsidRPr="00A2782A" w:rsidTr="004E687E">
        <w:trPr>
          <w:trHeight w:val="300"/>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82235E" w:rsidRPr="00A2782A" w:rsidRDefault="0082235E" w:rsidP="004E687E">
            <w:pPr>
              <w:rPr>
                <w:rFonts w:ascii="Tahoma" w:hAnsi="Tahoma" w:cs="Tahoma"/>
                <w:color w:val="000000"/>
                <w:sz w:val="20"/>
                <w:szCs w:val="20"/>
              </w:rPr>
            </w:pPr>
            <w:r w:rsidRPr="00A2782A">
              <w:rPr>
                <w:rFonts w:ascii="Tahoma" w:hAnsi="Tahoma" w:cs="Tahoma"/>
                <w:color w:val="000000"/>
                <w:sz w:val="20"/>
                <w:szCs w:val="20"/>
              </w:rPr>
              <w:t>Obveze prema zaposlenicima</w:t>
            </w:r>
          </w:p>
        </w:tc>
        <w:tc>
          <w:tcPr>
            <w:tcW w:w="2020" w:type="dxa"/>
            <w:tcBorders>
              <w:top w:val="nil"/>
              <w:left w:val="nil"/>
              <w:bottom w:val="single" w:sz="4" w:space="0" w:color="auto"/>
              <w:right w:val="single" w:sz="4" w:space="0" w:color="auto"/>
            </w:tcBorders>
            <w:shd w:val="clear" w:color="auto" w:fill="auto"/>
            <w:noWrap/>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16.579.373</w:t>
            </w:r>
          </w:p>
        </w:tc>
      </w:tr>
      <w:tr w:rsidR="0082235E" w:rsidRPr="00A2782A" w:rsidTr="004E687E">
        <w:trPr>
          <w:trHeight w:val="308"/>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82235E" w:rsidRPr="00A2782A" w:rsidRDefault="0082235E" w:rsidP="004E687E">
            <w:pPr>
              <w:rPr>
                <w:rFonts w:ascii="Tahoma" w:hAnsi="Tahoma" w:cs="Tahoma"/>
                <w:color w:val="000000"/>
                <w:sz w:val="20"/>
                <w:szCs w:val="20"/>
              </w:rPr>
            </w:pPr>
            <w:r w:rsidRPr="00A2782A">
              <w:rPr>
                <w:rFonts w:ascii="Tahoma" w:hAnsi="Tahoma" w:cs="Tahoma"/>
                <w:color w:val="000000"/>
                <w:sz w:val="20"/>
                <w:szCs w:val="20"/>
              </w:rPr>
              <w:t xml:space="preserve">Obveze za usluge drugih zdravstvenih ustanova                                   </w:t>
            </w:r>
          </w:p>
        </w:tc>
        <w:tc>
          <w:tcPr>
            <w:tcW w:w="2020" w:type="dxa"/>
            <w:tcBorders>
              <w:top w:val="nil"/>
              <w:left w:val="nil"/>
              <w:bottom w:val="single" w:sz="4"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795.469</w:t>
            </w:r>
          </w:p>
        </w:tc>
      </w:tr>
      <w:tr w:rsidR="0082235E" w:rsidRPr="00A2782A" w:rsidTr="004E687E">
        <w:trPr>
          <w:trHeight w:val="344"/>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82235E" w:rsidRPr="00A2782A" w:rsidRDefault="0082235E" w:rsidP="004E687E">
            <w:pPr>
              <w:rPr>
                <w:rFonts w:ascii="Tahoma" w:hAnsi="Tahoma" w:cs="Tahoma"/>
                <w:color w:val="000000"/>
                <w:sz w:val="20"/>
                <w:szCs w:val="20"/>
              </w:rPr>
            </w:pPr>
            <w:r w:rsidRPr="00A2782A">
              <w:rPr>
                <w:rFonts w:ascii="Tahoma" w:hAnsi="Tahoma" w:cs="Tahoma"/>
                <w:color w:val="000000"/>
                <w:sz w:val="20"/>
                <w:szCs w:val="20"/>
              </w:rPr>
              <w:t xml:space="preserve">Obveze prema </w:t>
            </w:r>
            <w:proofErr w:type="spellStart"/>
            <w:r w:rsidRPr="00A2782A">
              <w:rPr>
                <w:rFonts w:ascii="Tahoma" w:hAnsi="Tahoma" w:cs="Tahoma"/>
                <w:color w:val="000000"/>
                <w:sz w:val="20"/>
                <w:szCs w:val="20"/>
              </w:rPr>
              <w:t>komitentnim</w:t>
            </w:r>
            <w:proofErr w:type="spellEnd"/>
            <w:r w:rsidRPr="00A2782A">
              <w:rPr>
                <w:rFonts w:ascii="Tahoma" w:hAnsi="Tahoma" w:cs="Tahoma"/>
                <w:color w:val="000000"/>
                <w:sz w:val="20"/>
                <w:szCs w:val="20"/>
              </w:rPr>
              <w:t xml:space="preserve"> bankama za kredite</w:t>
            </w:r>
          </w:p>
        </w:tc>
        <w:tc>
          <w:tcPr>
            <w:tcW w:w="2020" w:type="dxa"/>
            <w:tcBorders>
              <w:top w:val="nil"/>
              <w:left w:val="nil"/>
              <w:bottom w:val="single" w:sz="4"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0,00</w:t>
            </w:r>
          </w:p>
        </w:tc>
      </w:tr>
      <w:tr w:rsidR="0082235E" w:rsidRPr="00A2782A" w:rsidTr="004E687E">
        <w:trPr>
          <w:trHeight w:val="300"/>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82235E" w:rsidRPr="00A2782A" w:rsidRDefault="0082235E" w:rsidP="004E687E">
            <w:pPr>
              <w:rPr>
                <w:rFonts w:ascii="Tahoma" w:hAnsi="Tahoma" w:cs="Tahoma"/>
                <w:color w:val="000000"/>
                <w:sz w:val="20"/>
                <w:szCs w:val="20"/>
              </w:rPr>
            </w:pPr>
            <w:r w:rsidRPr="00A2782A">
              <w:rPr>
                <w:rFonts w:ascii="Tahoma" w:hAnsi="Tahoma" w:cs="Tahoma"/>
                <w:color w:val="000000"/>
                <w:sz w:val="20"/>
                <w:szCs w:val="20"/>
              </w:rPr>
              <w:t>Ostale nespomenute obveze</w:t>
            </w:r>
          </w:p>
        </w:tc>
        <w:tc>
          <w:tcPr>
            <w:tcW w:w="2020" w:type="dxa"/>
            <w:tcBorders>
              <w:top w:val="nil"/>
              <w:left w:val="nil"/>
              <w:bottom w:val="single" w:sz="4"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3.147.244</w:t>
            </w:r>
          </w:p>
        </w:tc>
      </w:tr>
      <w:tr w:rsidR="0082235E" w:rsidRPr="00A2782A" w:rsidTr="004E687E">
        <w:trPr>
          <w:trHeight w:val="375"/>
          <w:jc w:val="center"/>
        </w:trPr>
        <w:tc>
          <w:tcPr>
            <w:tcW w:w="5641" w:type="dxa"/>
            <w:tcBorders>
              <w:top w:val="nil"/>
              <w:left w:val="single" w:sz="4" w:space="0" w:color="auto"/>
              <w:bottom w:val="single" w:sz="8" w:space="0" w:color="auto"/>
              <w:right w:val="single" w:sz="4" w:space="0" w:color="auto"/>
            </w:tcBorders>
            <w:shd w:val="clear" w:color="auto" w:fill="auto"/>
            <w:vAlign w:val="center"/>
            <w:hideMark/>
          </w:tcPr>
          <w:p w:rsidR="0082235E" w:rsidRPr="00A2782A" w:rsidRDefault="0082235E" w:rsidP="004E687E">
            <w:pPr>
              <w:rPr>
                <w:rFonts w:ascii="Tahoma" w:hAnsi="Tahoma" w:cs="Tahoma"/>
                <w:sz w:val="20"/>
                <w:szCs w:val="20"/>
              </w:rPr>
            </w:pPr>
            <w:r w:rsidRPr="00A2782A">
              <w:rPr>
                <w:rFonts w:ascii="Tahoma" w:hAnsi="Tahoma" w:cs="Tahoma"/>
                <w:sz w:val="20"/>
                <w:szCs w:val="20"/>
              </w:rPr>
              <w:t>Obveze prema HZZO za manje izvršen rad</w:t>
            </w:r>
          </w:p>
        </w:tc>
        <w:tc>
          <w:tcPr>
            <w:tcW w:w="2020" w:type="dxa"/>
            <w:tcBorders>
              <w:top w:val="nil"/>
              <w:left w:val="nil"/>
              <w:bottom w:val="single" w:sz="8"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69.726.808</w:t>
            </w:r>
          </w:p>
        </w:tc>
      </w:tr>
      <w:tr w:rsidR="0082235E" w:rsidRPr="00A2782A" w:rsidTr="004E687E">
        <w:trPr>
          <w:trHeight w:val="300"/>
          <w:jc w:val="center"/>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82235E" w:rsidRPr="00A2782A" w:rsidRDefault="0082235E" w:rsidP="004E687E">
            <w:pPr>
              <w:rPr>
                <w:rFonts w:ascii="Tahoma" w:hAnsi="Tahoma" w:cs="Tahoma"/>
                <w:b/>
                <w:bCs/>
                <w:color w:val="000000"/>
                <w:sz w:val="20"/>
                <w:szCs w:val="20"/>
              </w:rPr>
            </w:pPr>
            <w:r w:rsidRPr="00A2782A">
              <w:rPr>
                <w:rFonts w:ascii="Tahoma" w:hAnsi="Tahoma" w:cs="Tahoma"/>
                <w:b/>
                <w:bCs/>
                <w:color w:val="000000"/>
                <w:sz w:val="20"/>
                <w:szCs w:val="20"/>
              </w:rPr>
              <w:t xml:space="preserve"> SVEUKUPNE OBVEZE</w:t>
            </w:r>
            <w:r w:rsidRPr="00A2782A">
              <w:rPr>
                <w:rFonts w:ascii="Tahoma" w:hAnsi="Tahoma" w:cs="Tahoma"/>
                <w:color w:val="000000"/>
                <w:sz w:val="20"/>
                <w:szCs w:val="20"/>
              </w:rPr>
              <w:t>:</w:t>
            </w:r>
          </w:p>
        </w:tc>
        <w:tc>
          <w:tcPr>
            <w:tcW w:w="2020" w:type="dxa"/>
            <w:tcBorders>
              <w:top w:val="nil"/>
              <w:left w:val="nil"/>
              <w:bottom w:val="single" w:sz="4" w:space="0" w:color="auto"/>
              <w:right w:val="single" w:sz="4" w:space="0" w:color="auto"/>
            </w:tcBorders>
            <w:shd w:val="clear" w:color="auto" w:fill="auto"/>
            <w:vAlign w:val="center"/>
            <w:hideMark/>
          </w:tcPr>
          <w:p w:rsidR="0082235E" w:rsidRPr="00A2782A" w:rsidRDefault="0082235E" w:rsidP="004E687E">
            <w:pPr>
              <w:jc w:val="right"/>
              <w:rPr>
                <w:rFonts w:ascii="Tahoma" w:hAnsi="Tahoma" w:cs="Tahoma"/>
                <w:b/>
                <w:bCs/>
                <w:color w:val="000000"/>
                <w:sz w:val="18"/>
                <w:szCs w:val="18"/>
                <w:lang w:eastAsia="hr-HR"/>
              </w:rPr>
            </w:pPr>
            <w:r w:rsidRPr="00A2782A">
              <w:rPr>
                <w:rFonts w:ascii="Tahoma" w:hAnsi="Tahoma" w:cs="Tahoma"/>
                <w:b/>
                <w:bCs/>
                <w:color w:val="000000"/>
                <w:sz w:val="18"/>
                <w:szCs w:val="18"/>
              </w:rPr>
              <w:t>240.279.695</w:t>
            </w:r>
          </w:p>
        </w:tc>
      </w:tr>
    </w:tbl>
    <w:p w:rsidR="0082235E" w:rsidRPr="00A2782A" w:rsidRDefault="0082235E" w:rsidP="0082235E">
      <w:pPr>
        <w:pStyle w:val="PlainText"/>
        <w:rPr>
          <w:rFonts w:ascii="Tahoma" w:hAnsi="Tahoma" w:cs="Tahoma"/>
          <w:sz w:val="22"/>
          <w:szCs w:val="22"/>
        </w:rPr>
      </w:pPr>
    </w:p>
    <w:p w:rsidR="0082235E" w:rsidRPr="00A2782A" w:rsidRDefault="0082235E" w:rsidP="0082235E">
      <w:pPr>
        <w:pStyle w:val="PlainText"/>
        <w:rPr>
          <w:rFonts w:ascii="Tahoma" w:hAnsi="Tahoma" w:cs="Tahoma"/>
          <w:sz w:val="22"/>
          <w:szCs w:val="22"/>
        </w:rPr>
      </w:pPr>
    </w:p>
    <w:p w:rsidR="0082235E" w:rsidRPr="00A2782A" w:rsidRDefault="0082235E" w:rsidP="0082235E">
      <w:pPr>
        <w:pStyle w:val="PlainText"/>
        <w:jc w:val="both"/>
        <w:rPr>
          <w:rFonts w:ascii="Tahoma" w:hAnsi="Tahoma" w:cs="Tahoma"/>
          <w:sz w:val="22"/>
          <w:szCs w:val="22"/>
        </w:rPr>
      </w:pPr>
      <w:r w:rsidRPr="00A2782A">
        <w:rPr>
          <w:rFonts w:ascii="Tahoma" w:hAnsi="Tahoma" w:cs="Tahoma"/>
          <w:sz w:val="22"/>
          <w:szCs w:val="22"/>
        </w:rPr>
        <w:t>Najveći dio obveza odnosi se na obveze za lijekove (94.581.574 EUR) i obveze za manje izvršeni rad prema HZZO-u (69.726.808 EUR).</w:t>
      </w:r>
    </w:p>
    <w:p w:rsidR="0082235E" w:rsidRPr="007A6A85" w:rsidRDefault="0082235E" w:rsidP="007A6A85">
      <w:pPr>
        <w:pStyle w:val="PlainText"/>
        <w:jc w:val="both"/>
        <w:rPr>
          <w:rFonts w:ascii="Tahoma" w:hAnsi="Tahoma" w:cs="Tahoma"/>
          <w:color w:val="0D0D0D" w:themeColor="text1" w:themeTint="F2"/>
          <w:sz w:val="22"/>
          <w:szCs w:val="22"/>
        </w:rPr>
      </w:pPr>
      <w:r w:rsidRPr="00A2782A">
        <w:rPr>
          <w:rFonts w:ascii="Tahoma" w:hAnsi="Tahoma" w:cs="Tahoma"/>
          <w:sz w:val="22"/>
          <w:szCs w:val="22"/>
        </w:rPr>
        <w:t>Odlukom Upravnog vijeća HZZO-a od 31. svibnja 2022. godine o načinu vraćanja isplaćenih iznosa sredstava za provođenje bolničke i specijalističko-konzilijarne zdravstvene zaštite u iznosu većem od izvršenih usluga bolničke ustanove su dužne neizvršeni limit za razdoblje od 2014. do 2021. godine nadoknaditi većim</w:t>
      </w:r>
      <w:r w:rsidR="007A6A85">
        <w:rPr>
          <w:rFonts w:ascii="Tahoma" w:hAnsi="Tahoma" w:cs="Tahoma"/>
          <w:sz w:val="22"/>
          <w:szCs w:val="22"/>
        </w:rPr>
        <w:t xml:space="preserve"> izvršenjem</w:t>
      </w:r>
      <w:r w:rsidRPr="00A2782A">
        <w:rPr>
          <w:rFonts w:ascii="Tahoma" w:hAnsi="Tahoma" w:cs="Tahoma"/>
          <w:sz w:val="22"/>
          <w:szCs w:val="22"/>
        </w:rPr>
        <w:t>. Također, Odlukama Upravnog vijeća HZZO-a bolničke ustanove su sva primljena dodatna novčana sredstva obvezne pravdati ispostavljanjem računa za provedenu zdravstvenu zaštitu iz</w:t>
      </w:r>
      <w:r w:rsidRPr="007A6A85">
        <w:rPr>
          <w:rFonts w:ascii="Tahoma" w:hAnsi="Tahoma" w:cs="Tahoma"/>
          <w:color w:val="0D0D0D" w:themeColor="text1" w:themeTint="F2"/>
          <w:sz w:val="22"/>
          <w:szCs w:val="22"/>
        </w:rPr>
        <w:t xml:space="preserve"> obveznog zdravstvenog osiguranja. Rok ispostavljanja računa (izvršenja usluge) nije propisan.</w:t>
      </w:r>
      <w:r w:rsidR="007A6A85" w:rsidRPr="007A6A85">
        <w:rPr>
          <w:rFonts w:ascii="Tahoma" w:hAnsi="Tahoma" w:cs="Tahoma"/>
          <w:color w:val="0D0D0D" w:themeColor="text1" w:themeTint="F2"/>
          <w:sz w:val="22"/>
          <w:szCs w:val="22"/>
        </w:rPr>
        <w:t xml:space="preserve"> Navedenim Odlukama iznos ukupnih obveza prema HZZO-u za manje izvršen rad definiran je kao nedospjela obveza</w:t>
      </w:r>
      <w:r w:rsidR="007A6A85">
        <w:rPr>
          <w:rFonts w:ascii="Tahoma" w:hAnsi="Tahoma" w:cs="Tahoma"/>
          <w:color w:val="0D0D0D" w:themeColor="text1" w:themeTint="F2"/>
          <w:sz w:val="22"/>
          <w:szCs w:val="22"/>
        </w:rPr>
        <w:t xml:space="preserve">. </w:t>
      </w:r>
      <w:r w:rsidR="000514FC" w:rsidRPr="007A6A85">
        <w:rPr>
          <w:rFonts w:ascii="Tahoma" w:hAnsi="Tahoma" w:cs="Tahoma"/>
          <w:color w:val="0D0D0D" w:themeColor="text1" w:themeTint="F2"/>
          <w:sz w:val="22"/>
          <w:szCs w:val="22"/>
        </w:rPr>
        <w:t>Sukladno naputku Ministarstva financija od dana 14. rujna 2020. godine o načinu evidentiranja obveza za primljene predujmove od HZZO-a u poslovnim knjigama i financijskim izvještajima ustanova u zdravstvu, zdravstvena ustanova ne smije zatvoriti obvezu po primljenom predujmu i priznati prihod od HZZO-a na temelju ugovornih obveza, ako HZZO nije iskazao rashod i zatvorio potraživanje za dani predujam u istom izvještajnom razdoblju</w:t>
      </w:r>
      <w:r w:rsidR="007A6A85">
        <w:rPr>
          <w:rFonts w:ascii="Tahoma" w:hAnsi="Tahoma" w:cs="Tahoma"/>
          <w:color w:val="0D0D0D" w:themeColor="text1" w:themeTint="F2"/>
          <w:sz w:val="22"/>
          <w:szCs w:val="22"/>
        </w:rPr>
        <w:t xml:space="preserve">. </w:t>
      </w:r>
    </w:p>
    <w:p w:rsidR="0082235E" w:rsidRPr="00A2782A" w:rsidRDefault="0082235E" w:rsidP="0082235E">
      <w:pPr>
        <w:pStyle w:val="PlainText"/>
        <w:numPr>
          <w:ilvl w:val="0"/>
          <w:numId w:val="15"/>
        </w:numPr>
        <w:rPr>
          <w:rFonts w:ascii="Tahoma" w:hAnsi="Tahoma" w:cs="Tahoma"/>
          <w:b/>
          <w:sz w:val="22"/>
          <w:szCs w:val="22"/>
        </w:rPr>
      </w:pPr>
      <w:r w:rsidRPr="00A2782A">
        <w:rPr>
          <w:rFonts w:ascii="Tahoma" w:hAnsi="Tahoma" w:cs="Tahoma"/>
          <w:b/>
          <w:sz w:val="22"/>
          <w:szCs w:val="22"/>
        </w:rPr>
        <w:lastRenderedPageBreak/>
        <w:t>STANJE DOSPJELIH OBVEZA NA KRAJU IZVJEŠTAJNOG RAZDOBLJA (Šifra V007)</w:t>
      </w:r>
    </w:p>
    <w:p w:rsidR="0082235E" w:rsidRPr="00A2782A" w:rsidRDefault="0082235E" w:rsidP="0082235E">
      <w:pPr>
        <w:pStyle w:val="PlainText"/>
        <w:rPr>
          <w:rFonts w:ascii="Tahoma" w:hAnsi="Tahoma" w:cs="Tahoma"/>
          <w:sz w:val="22"/>
          <w:szCs w:val="22"/>
        </w:rPr>
      </w:pPr>
    </w:p>
    <w:p w:rsidR="0082235E" w:rsidRPr="00A2782A" w:rsidRDefault="0082235E" w:rsidP="0082235E">
      <w:pPr>
        <w:pStyle w:val="PlainText"/>
        <w:jc w:val="both"/>
        <w:rPr>
          <w:rFonts w:ascii="Tahoma" w:hAnsi="Tahoma" w:cs="Tahoma"/>
          <w:sz w:val="22"/>
          <w:szCs w:val="22"/>
        </w:rPr>
      </w:pPr>
      <w:r w:rsidRPr="00A2782A">
        <w:rPr>
          <w:rFonts w:ascii="Tahoma" w:hAnsi="Tahoma" w:cs="Tahoma"/>
          <w:sz w:val="22"/>
          <w:szCs w:val="22"/>
        </w:rPr>
        <w:t>Stanje dospjelih obveza na kraju izvještajnog razdoblja iznosi 79.947.210 EUR. Povećanje dospjelih obveza u odnosu na isto razdoblje prethodne godine iznosi 5,5% (dospjele obveze na kraju izvještajnog razdoblja siječanj-prosinac 2022. godine iznosile su 75.813.243 EUR). Dospjele obveze odnose se na obveze za materijalne rashode u iznosu od 75.336.688 EUR i obveze za nabavu nefinancijske imovine u iznosu od 4.610.522 EUR.</w:t>
      </w:r>
    </w:p>
    <w:p w:rsidR="0082235E" w:rsidRPr="00A2782A" w:rsidRDefault="0082235E" w:rsidP="0082235E">
      <w:pPr>
        <w:pStyle w:val="PlainText"/>
        <w:jc w:val="both"/>
        <w:rPr>
          <w:rFonts w:ascii="Tahoma" w:hAnsi="Tahoma" w:cs="Tahoma"/>
          <w:sz w:val="22"/>
          <w:szCs w:val="22"/>
        </w:rPr>
      </w:pPr>
      <w:r w:rsidRPr="00A2782A">
        <w:rPr>
          <w:rFonts w:ascii="Tahoma" w:hAnsi="Tahoma" w:cs="Tahoma"/>
          <w:sz w:val="22"/>
          <w:szCs w:val="22"/>
        </w:rPr>
        <w:t>Od dospjelih obveza za materijalne rashode najveći dio odnosi se na obveze za lijekove (54.875.806 EUR) i medicinski potrošni materijal (20.024.670 EUR) od kojih je struktura dospijeća dana kako slijedi:</w:t>
      </w:r>
    </w:p>
    <w:p w:rsidR="0082235E" w:rsidRPr="00A2782A" w:rsidRDefault="0082235E" w:rsidP="0082235E">
      <w:pPr>
        <w:pStyle w:val="PlainText"/>
        <w:rPr>
          <w:rFonts w:ascii="Tahoma" w:hAnsi="Tahoma" w:cs="Tahoma"/>
          <w:sz w:val="22"/>
          <w:szCs w:val="22"/>
        </w:rPr>
      </w:pPr>
    </w:p>
    <w:p w:rsidR="0082235E" w:rsidRPr="00A2782A" w:rsidRDefault="0082235E" w:rsidP="0082235E">
      <w:pPr>
        <w:pStyle w:val="PlainText"/>
        <w:rPr>
          <w:rFonts w:ascii="Tahoma" w:hAnsi="Tahoma" w:cs="Tahoma"/>
          <w:sz w:val="22"/>
          <w:szCs w:val="22"/>
        </w:rPr>
      </w:pPr>
    </w:p>
    <w:tbl>
      <w:tblPr>
        <w:tblW w:w="9214" w:type="dxa"/>
        <w:tblInd w:w="-5" w:type="dxa"/>
        <w:tblLook w:val="04A0" w:firstRow="1" w:lastRow="0" w:firstColumn="1" w:lastColumn="0" w:noHBand="0" w:noVBand="1"/>
      </w:tblPr>
      <w:tblGrid>
        <w:gridCol w:w="1535"/>
        <w:gridCol w:w="1394"/>
        <w:gridCol w:w="1368"/>
        <w:gridCol w:w="1368"/>
        <w:gridCol w:w="1267"/>
        <w:gridCol w:w="1148"/>
        <w:gridCol w:w="1134"/>
      </w:tblGrid>
      <w:tr w:rsidR="0082235E" w:rsidRPr="00A2782A" w:rsidTr="004E687E">
        <w:trPr>
          <w:trHeight w:val="975"/>
        </w:trPr>
        <w:tc>
          <w:tcPr>
            <w:tcW w:w="153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2235E" w:rsidRPr="00A2782A" w:rsidRDefault="0082235E" w:rsidP="004E687E">
            <w:pPr>
              <w:jc w:val="center"/>
              <w:rPr>
                <w:rFonts w:ascii="Tahoma" w:hAnsi="Tahoma" w:cs="Tahoma"/>
                <w:b/>
                <w:bCs/>
                <w:color w:val="000000"/>
                <w:sz w:val="16"/>
                <w:szCs w:val="16"/>
                <w:lang w:eastAsia="hr-HR"/>
              </w:rPr>
            </w:pPr>
            <w:r w:rsidRPr="00A2782A">
              <w:rPr>
                <w:rFonts w:ascii="Tahoma" w:hAnsi="Tahoma" w:cs="Tahoma"/>
                <w:b/>
                <w:bCs/>
                <w:color w:val="000000"/>
                <w:sz w:val="16"/>
                <w:szCs w:val="16"/>
              </w:rPr>
              <w:t>O P I S</w:t>
            </w:r>
          </w:p>
        </w:tc>
        <w:tc>
          <w:tcPr>
            <w:tcW w:w="1394" w:type="dxa"/>
            <w:tcBorders>
              <w:top w:val="single" w:sz="4" w:space="0" w:color="auto"/>
              <w:left w:val="nil"/>
              <w:bottom w:val="single" w:sz="8" w:space="0" w:color="auto"/>
              <w:right w:val="single" w:sz="4" w:space="0" w:color="auto"/>
            </w:tcBorders>
            <w:shd w:val="clear" w:color="auto" w:fill="auto"/>
            <w:vAlign w:val="center"/>
            <w:hideMark/>
          </w:tcPr>
          <w:p w:rsidR="0082235E" w:rsidRPr="00A2782A" w:rsidRDefault="0082235E" w:rsidP="004E687E">
            <w:pPr>
              <w:jc w:val="center"/>
              <w:rPr>
                <w:rFonts w:ascii="Tahoma" w:hAnsi="Tahoma" w:cs="Tahoma"/>
                <w:b/>
                <w:bCs/>
                <w:color w:val="000000"/>
                <w:sz w:val="16"/>
                <w:szCs w:val="16"/>
              </w:rPr>
            </w:pPr>
            <w:r w:rsidRPr="00A2782A">
              <w:rPr>
                <w:rFonts w:ascii="Tahoma" w:hAnsi="Tahoma" w:cs="Tahoma"/>
                <w:b/>
                <w:bCs/>
                <w:color w:val="000000"/>
                <w:sz w:val="16"/>
                <w:szCs w:val="16"/>
              </w:rPr>
              <w:t xml:space="preserve">Ukupno dospjele obveze na dan 31. prosinca 2023. </w:t>
            </w:r>
          </w:p>
        </w:tc>
        <w:tc>
          <w:tcPr>
            <w:tcW w:w="1368" w:type="dxa"/>
            <w:tcBorders>
              <w:top w:val="single" w:sz="4" w:space="0" w:color="auto"/>
              <w:left w:val="nil"/>
              <w:bottom w:val="single" w:sz="8" w:space="0" w:color="auto"/>
              <w:right w:val="single" w:sz="4" w:space="0" w:color="auto"/>
            </w:tcBorders>
            <w:shd w:val="clear" w:color="auto" w:fill="auto"/>
            <w:vAlign w:val="center"/>
            <w:hideMark/>
          </w:tcPr>
          <w:p w:rsidR="0082235E" w:rsidRPr="00A2782A" w:rsidRDefault="0082235E" w:rsidP="004E687E">
            <w:pPr>
              <w:jc w:val="center"/>
              <w:rPr>
                <w:rFonts w:ascii="Tahoma" w:hAnsi="Tahoma" w:cs="Tahoma"/>
                <w:b/>
                <w:bCs/>
                <w:color w:val="000000"/>
                <w:sz w:val="16"/>
                <w:szCs w:val="16"/>
              </w:rPr>
            </w:pPr>
            <w:r w:rsidRPr="00A2782A">
              <w:rPr>
                <w:rFonts w:ascii="Tahoma" w:hAnsi="Tahoma" w:cs="Tahoma"/>
                <w:b/>
                <w:bCs/>
                <w:color w:val="000000"/>
                <w:sz w:val="16"/>
                <w:szCs w:val="16"/>
              </w:rPr>
              <w:t>Dospjele obveze do 60 dana</w:t>
            </w:r>
          </w:p>
        </w:tc>
        <w:tc>
          <w:tcPr>
            <w:tcW w:w="1368" w:type="dxa"/>
            <w:tcBorders>
              <w:top w:val="single" w:sz="4" w:space="0" w:color="auto"/>
              <w:left w:val="nil"/>
              <w:bottom w:val="single" w:sz="8" w:space="0" w:color="auto"/>
              <w:right w:val="single" w:sz="4" w:space="0" w:color="auto"/>
            </w:tcBorders>
            <w:shd w:val="clear" w:color="auto" w:fill="auto"/>
            <w:vAlign w:val="center"/>
            <w:hideMark/>
          </w:tcPr>
          <w:p w:rsidR="0082235E" w:rsidRPr="00A2782A" w:rsidRDefault="0082235E" w:rsidP="004E687E">
            <w:pPr>
              <w:jc w:val="center"/>
              <w:rPr>
                <w:rFonts w:ascii="Tahoma" w:hAnsi="Tahoma" w:cs="Tahoma"/>
                <w:b/>
                <w:bCs/>
                <w:color w:val="000000"/>
                <w:sz w:val="16"/>
                <w:szCs w:val="16"/>
              </w:rPr>
            </w:pPr>
            <w:r w:rsidRPr="00A2782A">
              <w:rPr>
                <w:rFonts w:ascii="Tahoma" w:hAnsi="Tahoma" w:cs="Tahoma"/>
                <w:b/>
                <w:bCs/>
                <w:color w:val="000000"/>
                <w:sz w:val="16"/>
                <w:szCs w:val="16"/>
              </w:rPr>
              <w:t>Dospjele obveze od 61 do 90 dana</w:t>
            </w:r>
          </w:p>
        </w:tc>
        <w:tc>
          <w:tcPr>
            <w:tcW w:w="1267" w:type="dxa"/>
            <w:tcBorders>
              <w:top w:val="single" w:sz="4" w:space="0" w:color="auto"/>
              <w:left w:val="nil"/>
              <w:bottom w:val="single" w:sz="8" w:space="0" w:color="auto"/>
              <w:right w:val="single" w:sz="4" w:space="0" w:color="auto"/>
            </w:tcBorders>
            <w:shd w:val="clear" w:color="auto" w:fill="auto"/>
            <w:vAlign w:val="center"/>
            <w:hideMark/>
          </w:tcPr>
          <w:p w:rsidR="0082235E" w:rsidRPr="00A2782A" w:rsidRDefault="0082235E" w:rsidP="004E687E">
            <w:pPr>
              <w:jc w:val="center"/>
              <w:rPr>
                <w:rFonts w:ascii="Tahoma" w:hAnsi="Tahoma" w:cs="Tahoma"/>
                <w:b/>
                <w:bCs/>
                <w:color w:val="000000"/>
                <w:sz w:val="16"/>
                <w:szCs w:val="16"/>
              </w:rPr>
            </w:pPr>
            <w:r w:rsidRPr="00A2782A">
              <w:rPr>
                <w:rFonts w:ascii="Tahoma" w:hAnsi="Tahoma" w:cs="Tahoma"/>
                <w:b/>
                <w:bCs/>
                <w:color w:val="000000"/>
                <w:sz w:val="16"/>
                <w:szCs w:val="16"/>
              </w:rPr>
              <w:t>Dospjele obveze od 91 do 120 dana</w:t>
            </w:r>
          </w:p>
        </w:tc>
        <w:tc>
          <w:tcPr>
            <w:tcW w:w="1148" w:type="dxa"/>
            <w:tcBorders>
              <w:top w:val="single" w:sz="4" w:space="0" w:color="auto"/>
              <w:left w:val="nil"/>
              <w:bottom w:val="single" w:sz="8" w:space="0" w:color="auto"/>
              <w:right w:val="single" w:sz="4" w:space="0" w:color="auto"/>
            </w:tcBorders>
            <w:shd w:val="clear" w:color="auto" w:fill="auto"/>
            <w:vAlign w:val="center"/>
            <w:hideMark/>
          </w:tcPr>
          <w:p w:rsidR="0082235E" w:rsidRPr="00A2782A" w:rsidRDefault="0082235E" w:rsidP="004E687E">
            <w:pPr>
              <w:jc w:val="center"/>
              <w:rPr>
                <w:rFonts w:ascii="Tahoma" w:hAnsi="Tahoma" w:cs="Tahoma"/>
                <w:b/>
                <w:bCs/>
                <w:color w:val="000000"/>
                <w:sz w:val="16"/>
                <w:szCs w:val="16"/>
              </w:rPr>
            </w:pPr>
            <w:r w:rsidRPr="00A2782A">
              <w:rPr>
                <w:rFonts w:ascii="Tahoma" w:hAnsi="Tahoma" w:cs="Tahoma"/>
                <w:b/>
                <w:bCs/>
                <w:color w:val="000000"/>
                <w:sz w:val="16"/>
                <w:szCs w:val="16"/>
              </w:rPr>
              <w:t>Dospjele obveze od 121 do 150 dana</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82235E" w:rsidRPr="00A2782A" w:rsidRDefault="0082235E" w:rsidP="004E687E">
            <w:pPr>
              <w:jc w:val="center"/>
              <w:rPr>
                <w:rFonts w:ascii="Tahoma" w:hAnsi="Tahoma" w:cs="Tahoma"/>
                <w:b/>
                <w:bCs/>
                <w:color w:val="000000"/>
                <w:sz w:val="16"/>
                <w:szCs w:val="16"/>
              </w:rPr>
            </w:pPr>
            <w:r w:rsidRPr="00A2782A">
              <w:rPr>
                <w:rFonts w:ascii="Tahoma" w:hAnsi="Tahoma" w:cs="Tahoma"/>
                <w:b/>
                <w:bCs/>
                <w:color w:val="000000"/>
                <w:sz w:val="16"/>
                <w:szCs w:val="16"/>
              </w:rPr>
              <w:t>Dospjele obveze od 151 do 180 dana</w:t>
            </w:r>
          </w:p>
        </w:tc>
      </w:tr>
      <w:tr w:rsidR="0082235E" w:rsidRPr="00A2782A" w:rsidTr="004E687E">
        <w:trPr>
          <w:trHeight w:val="300"/>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35E" w:rsidRPr="00A2782A" w:rsidRDefault="0082235E" w:rsidP="004E687E">
            <w:pPr>
              <w:rPr>
                <w:rFonts w:ascii="Tahoma" w:hAnsi="Tahoma" w:cs="Tahoma"/>
                <w:color w:val="000000"/>
                <w:sz w:val="16"/>
                <w:szCs w:val="16"/>
              </w:rPr>
            </w:pPr>
            <w:r w:rsidRPr="00A2782A">
              <w:rPr>
                <w:rFonts w:ascii="Tahoma" w:hAnsi="Tahoma" w:cs="Tahoma"/>
                <w:color w:val="000000"/>
                <w:sz w:val="16"/>
                <w:szCs w:val="16"/>
              </w:rPr>
              <w:t>Za lijekove</w:t>
            </w:r>
          </w:p>
        </w:tc>
        <w:tc>
          <w:tcPr>
            <w:tcW w:w="1394" w:type="dxa"/>
            <w:tcBorders>
              <w:top w:val="single" w:sz="4" w:space="0" w:color="auto"/>
              <w:left w:val="nil"/>
              <w:bottom w:val="single" w:sz="4"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lang w:eastAsia="hr-HR"/>
              </w:rPr>
            </w:pPr>
            <w:r w:rsidRPr="00A2782A">
              <w:rPr>
                <w:rFonts w:ascii="Tahoma" w:hAnsi="Tahoma" w:cs="Tahoma"/>
                <w:color w:val="000000"/>
                <w:sz w:val="18"/>
                <w:szCs w:val="18"/>
              </w:rPr>
              <w:t>54.875.806</w:t>
            </w:r>
          </w:p>
        </w:tc>
        <w:tc>
          <w:tcPr>
            <w:tcW w:w="1368" w:type="dxa"/>
            <w:tcBorders>
              <w:top w:val="nil"/>
              <w:left w:val="nil"/>
              <w:bottom w:val="single" w:sz="4"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30.731.316</w:t>
            </w:r>
          </w:p>
        </w:tc>
        <w:tc>
          <w:tcPr>
            <w:tcW w:w="1368" w:type="dxa"/>
            <w:tcBorders>
              <w:top w:val="nil"/>
              <w:left w:val="nil"/>
              <w:bottom w:val="single" w:sz="4"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18.967.061</w:t>
            </w:r>
          </w:p>
        </w:tc>
        <w:tc>
          <w:tcPr>
            <w:tcW w:w="1267" w:type="dxa"/>
            <w:tcBorders>
              <w:top w:val="nil"/>
              <w:left w:val="nil"/>
              <w:bottom w:val="single" w:sz="4"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5.177.429</w:t>
            </w:r>
          </w:p>
        </w:tc>
        <w:tc>
          <w:tcPr>
            <w:tcW w:w="1148" w:type="dxa"/>
            <w:tcBorders>
              <w:top w:val="nil"/>
              <w:left w:val="nil"/>
              <w:bottom w:val="single" w:sz="4" w:space="0" w:color="auto"/>
              <w:right w:val="single" w:sz="4" w:space="0" w:color="auto"/>
            </w:tcBorders>
            <w:shd w:val="clear" w:color="auto" w:fill="auto"/>
            <w:vAlign w:val="bottom"/>
          </w:tcPr>
          <w:p w:rsidR="0082235E" w:rsidRPr="00A2782A" w:rsidRDefault="0082235E" w:rsidP="004E687E">
            <w:pPr>
              <w:jc w:val="right"/>
              <w:rPr>
                <w:rFonts w:ascii="Tahoma" w:hAnsi="Tahoma" w:cs="Tahoma"/>
                <w:color w:val="000000"/>
                <w:sz w:val="18"/>
                <w:szCs w:val="18"/>
                <w:lang w:eastAsia="hr-HR"/>
              </w:rPr>
            </w:pPr>
            <w:r w:rsidRPr="00A2782A">
              <w:rPr>
                <w:rFonts w:ascii="Tahoma" w:hAnsi="Tahoma" w:cs="Tahoma"/>
                <w:color w:val="000000"/>
                <w:sz w:val="18"/>
                <w:szCs w:val="18"/>
              </w:rPr>
              <w:t>0</w:t>
            </w:r>
          </w:p>
        </w:tc>
        <w:tc>
          <w:tcPr>
            <w:tcW w:w="1134" w:type="dxa"/>
            <w:tcBorders>
              <w:top w:val="nil"/>
              <w:left w:val="nil"/>
              <w:bottom w:val="single" w:sz="4" w:space="0" w:color="auto"/>
              <w:right w:val="single" w:sz="4" w:space="0" w:color="auto"/>
            </w:tcBorders>
            <w:shd w:val="clear" w:color="auto" w:fill="auto"/>
            <w:vAlign w:val="bottom"/>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0</w:t>
            </w:r>
          </w:p>
        </w:tc>
      </w:tr>
      <w:tr w:rsidR="0082235E" w:rsidRPr="00A2782A" w:rsidTr="004E687E">
        <w:trPr>
          <w:trHeight w:val="510"/>
        </w:trPr>
        <w:tc>
          <w:tcPr>
            <w:tcW w:w="1535" w:type="dxa"/>
            <w:tcBorders>
              <w:top w:val="nil"/>
              <w:left w:val="single" w:sz="4" w:space="0" w:color="auto"/>
              <w:bottom w:val="single" w:sz="4" w:space="0" w:color="auto"/>
              <w:right w:val="single" w:sz="4" w:space="0" w:color="auto"/>
            </w:tcBorders>
            <w:shd w:val="clear" w:color="auto" w:fill="auto"/>
            <w:vAlign w:val="center"/>
            <w:hideMark/>
          </w:tcPr>
          <w:p w:rsidR="0082235E" w:rsidRPr="00A2782A" w:rsidRDefault="0082235E" w:rsidP="004E687E">
            <w:pPr>
              <w:rPr>
                <w:rFonts w:ascii="Tahoma" w:hAnsi="Tahoma" w:cs="Tahoma"/>
                <w:color w:val="000000"/>
                <w:sz w:val="16"/>
                <w:szCs w:val="16"/>
              </w:rPr>
            </w:pPr>
            <w:r w:rsidRPr="00A2782A">
              <w:rPr>
                <w:rFonts w:ascii="Tahoma" w:hAnsi="Tahoma" w:cs="Tahoma"/>
                <w:color w:val="000000"/>
                <w:sz w:val="16"/>
                <w:szCs w:val="16"/>
              </w:rPr>
              <w:t>Za sanitetski materijal, krvi i krvne derivate i sl.</w:t>
            </w:r>
          </w:p>
        </w:tc>
        <w:tc>
          <w:tcPr>
            <w:tcW w:w="1394" w:type="dxa"/>
            <w:tcBorders>
              <w:top w:val="nil"/>
              <w:left w:val="nil"/>
              <w:bottom w:val="single" w:sz="4"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20.024.670</w:t>
            </w:r>
          </w:p>
        </w:tc>
        <w:tc>
          <w:tcPr>
            <w:tcW w:w="1368" w:type="dxa"/>
            <w:tcBorders>
              <w:top w:val="nil"/>
              <w:left w:val="nil"/>
              <w:bottom w:val="single" w:sz="4"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13.298.412</w:t>
            </w:r>
          </w:p>
        </w:tc>
        <w:tc>
          <w:tcPr>
            <w:tcW w:w="1368" w:type="dxa"/>
            <w:tcBorders>
              <w:top w:val="nil"/>
              <w:left w:val="nil"/>
              <w:bottom w:val="single" w:sz="4"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5.509.939</w:t>
            </w:r>
          </w:p>
        </w:tc>
        <w:tc>
          <w:tcPr>
            <w:tcW w:w="1267" w:type="dxa"/>
            <w:tcBorders>
              <w:top w:val="nil"/>
              <w:left w:val="nil"/>
              <w:bottom w:val="single" w:sz="4" w:space="0" w:color="auto"/>
              <w:right w:val="single" w:sz="4" w:space="0" w:color="auto"/>
            </w:tcBorders>
            <w:shd w:val="clear" w:color="auto" w:fill="auto"/>
            <w:vAlign w:val="bottom"/>
            <w:hideMark/>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1.216.319</w:t>
            </w:r>
          </w:p>
        </w:tc>
        <w:tc>
          <w:tcPr>
            <w:tcW w:w="1148" w:type="dxa"/>
            <w:tcBorders>
              <w:top w:val="nil"/>
              <w:left w:val="nil"/>
              <w:bottom w:val="single" w:sz="4" w:space="0" w:color="auto"/>
              <w:right w:val="single" w:sz="4" w:space="0" w:color="auto"/>
            </w:tcBorders>
            <w:shd w:val="clear" w:color="auto" w:fill="auto"/>
            <w:vAlign w:val="bottom"/>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0</w:t>
            </w:r>
          </w:p>
        </w:tc>
        <w:tc>
          <w:tcPr>
            <w:tcW w:w="1134" w:type="dxa"/>
            <w:tcBorders>
              <w:top w:val="nil"/>
              <w:left w:val="nil"/>
              <w:bottom w:val="single" w:sz="4" w:space="0" w:color="auto"/>
              <w:right w:val="single" w:sz="4" w:space="0" w:color="auto"/>
            </w:tcBorders>
            <w:shd w:val="clear" w:color="auto" w:fill="auto"/>
            <w:vAlign w:val="bottom"/>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0</w:t>
            </w:r>
          </w:p>
        </w:tc>
      </w:tr>
      <w:tr w:rsidR="0082235E" w:rsidRPr="00A2782A" w:rsidTr="004E687E">
        <w:trPr>
          <w:trHeight w:val="300"/>
        </w:trPr>
        <w:tc>
          <w:tcPr>
            <w:tcW w:w="1535" w:type="dxa"/>
            <w:tcBorders>
              <w:top w:val="nil"/>
              <w:left w:val="single" w:sz="4" w:space="0" w:color="auto"/>
              <w:bottom w:val="single" w:sz="4" w:space="0" w:color="auto"/>
              <w:right w:val="single" w:sz="4" w:space="0" w:color="auto"/>
            </w:tcBorders>
            <w:shd w:val="clear" w:color="auto" w:fill="auto"/>
            <w:vAlign w:val="center"/>
            <w:hideMark/>
          </w:tcPr>
          <w:p w:rsidR="0082235E" w:rsidRPr="00A2782A" w:rsidRDefault="0082235E" w:rsidP="004E687E">
            <w:pPr>
              <w:rPr>
                <w:rFonts w:ascii="Tahoma" w:hAnsi="Tahoma" w:cs="Tahoma"/>
                <w:b/>
                <w:bCs/>
                <w:color w:val="000000"/>
                <w:sz w:val="16"/>
                <w:szCs w:val="16"/>
              </w:rPr>
            </w:pPr>
            <w:r w:rsidRPr="00A2782A">
              <w:rPr>
                <w:rFonts w:ascii="Tahoma" w:hAnsi="Tahoma" w:cs="Tahoma"/>
                <w:b/>
                <w:bCs/>
                <w:color w:val="000000"/>
                <w:sz w:val="16"/>
                <w:szCs w:val="16"/>
              </w:rPr>
              <w:t>SVEUKUPNE OBVEZE</w:t>
            </w:r>
            <w:r w:rsidRPr="00A2782A">
              <w:rPr>
                <w:rFonts w:ascii="Tahoma" w:hAnsi="Tahoma" w:cs="Tahoma"/>
                <w:color w:val="000000"/>
                <w:sz w:val="16"/>
                <w:szCs w:val="16"/>
              </w:rPr>
              <w:t>:</w:t>
            </w:r>
          </w:p>
        </w:tc>
        <w:tc>
          <w:tcPr>
            <w:tcW w:w="1394" w:type="dxa"/>
            <w:tcBorders>
              <w:top w:val="nil"/>
              <w:left w:val="nil"/>
              <w:bottom w:val="single" w:sz="4" w:space="0" w:color="auto"/>
              <w:right w:val="single" w:sz="4" w:space="0" w:color="auto"/>
            </w:tcBorders>
            <w:shd w:val="clear" w:color="auto" w:fill="auto"/>
          </w:tcPr>
          <w:p w:rsidR="0082235E" w:rsidRPr="00A2782A" w:rsidRDefault="0082235E" w:rsidP="004E687E">
            <w:pPr>
              <w:jc w:val="right"/>
              <w:rPr>
                <w:rFonts w:ascii="Tahoma" w:hAnsi="Tahoma" w:cs="Tahoma"/>
                <w:sz w:val="18"/>
                <w:szCs w:val="16"/>
              </w:rPr>
            </w:pPr>
          </w:p>
          <w:p w:rsidR="0082235E" w:rsidRPr="00A2782A" w:rsidRDefault="0082235E" w:rsidP="004E687E">
            <w:pPr>
              <w:jc w:val="right"/>
              <w:rPr>
                <w:rFonts w:ascii="Tahoma" w:hAnsi="Tahoma" w:cs="Tahoma"/>
                <w:sz w:val="18"/>
                <w:szCs w:val="16"/>
              </w:rPr>
            </w:pPr>
            <w:r w:rsidRPr="00A2782A">
              <w:rPr>
                <w:rFonts w:ascii="Tahoma" w:hAnsi="Tahoma" w:cs="Tahoma"/>
                <w:sz w:val="18"/>
                <w:szCs w:val="16"/>
              </w:rPr>
              <w:t>74.900.476</w:t>
            </w:r>
          </w:p>
        </w:tc>
        <w:tc>
          <w:tcPr>
            <w:tcW w:w="1368" w:type="dxa"/>
            <w:tcBorders>
              <w:top w:val="nil"/>
              <w:left w:val="nil"/>
              <w:bottom w:val="single" w:sz="4" w:space="0" w:color="auto"/>
              <w:right w:val="single" w:sz="4" w:space="0" w:color="auto"/>
            </w:tcBorders>
            <w:shd w:val="clear" w:color="auto" w:fill="auto"/>
          </w:tcPr>
          <w:p w:rsidR="0082235E" w:rsidRPr="00A2782A" w:rsidRDefault="0082235E" w:rsidP="004E687E">
            <w:pPr>
              <w:jc w:val="right"/>
              <w:rPr>
                <w:rFonts w:ascii="Tahoma" w:hAnsi="Tahoma" w:cs="Tahoma"/>
                <w:sz w:val="18"/>
                <w:szCs w:val="16"/>
              </w:rPr>
            </w:pPr>
          </w:p>
          <w:p w:rsidR="0082235E" w:rsidRPr="00A2782A" w:rsidRDefault="0082235E" w:rsidP="004E687E">
            <w:pPr>
              <w:jc w:val="right"/>
              <w:rPr>
                <w:rFonts w:ascii="Tahoma" w:hAnsi="Tahoma" w:cs="Tahoma"/>
                <w:sz w:val="18"/>
                <w:szCs w:val="16"/>
              </w:rPr>
            </w:pPr>
            <w:r w:rsidRPr="00A2782A">
              <w:rPr>
                <w:rFonts w:ascii="Tahoma" w:hAnsi="Tahoma" w:cs="Tahoma"/>
                <w:sz w:val="18"/>
                <w:szCs w:val="16"/>
              </w:rPr>
              <w:t>44.029.728</w:t>
            </w:r>
          </w:p>
        </w:tc>
        <w:tc>
          <w:tcPr>
            <w:tcW w:w="1368" w:type="dxa"/>
            <w:tcBorders>
              <w:top w:val="nil"/>
              <w:left w:val="nil"/>
              <w:bottom w:val="single" w:sz="4" w:space="0" w:color="auto"/>
              <w:right w:val="single" w:sz="4" w:space="0" w:color="auto"/>
            </w:tcBorders>
            <w:shd w:val="clear" w:color="auto" w:fill="auto"/>
          </w:tcPr>
          <w:p w:rsidR="0082235E" w:rsidRPr="00A2782A" w:rsidRDefault="0082235E" w:rsidP="004E687E">
            <w:pPr>
              <w:jc w:val="right"/>
              <w:rPr>
                <w:rFonts w:ascii="Tahoma" w:hAnsi="Tahoma" w:cs="Tahoma"/>
                <w:sz w:val="18"/>
                <w:szCs w:val="16"/>
              </w:rPr>
            </w:pPr>
          </w:p>
          <w:p w:rsidR="0082235E" w:rsidRPr="00A2782A" w:rsidRDefault="0082235E" w:rsidP="004E687E">
            <w:pPr>
              <w:jc w:val="right"/>
              <w:rPr>
                <w:rFonts w:ascii="Tahoma" w:hAnsi="Tahoma" w:cs="Tahoma"/>
                <w:sz w:val="18"/>
                <w:szCs w:val="16"/>
              </w:rPr>
            </w:pPr>
            <w:r w:rsidRPr="00A2782A">
              <w:rPr>
                <w:rFonts w:ascii="Tahoma" w:hAnsi="Tahoma" w:cs="Tahoma"/>
                <w:sz w:val="18"/>
                <w:szCs w:val="16"/>
              </w:rPr>
              <w:t>24.477.000</w:t>
            </w:r>
          </w:p>
        </w:tc>
        <w:tc>
          <w:tcPr>
            <w:tcW w:w="1267" w:type="dxa"/>
            <w:tcBorders>
              <w:top w:val="nil"/>
              <w:left w:val="nil"/>
              <w:bottom w:val="single" w:sz="4" w:space="0" w:color="auto"/>
              <w:right w:val="single" w:sz="4" w:space="0" w:color="auto"/>
            </w:tcBorders>
            <w:shd w:val="clear" w:color="auto" w:fill="auto"/>
          </w:tcPr>
          <w:p w:rsidR="0082235E" w:rsidRPr="00A2782A" w:rsidRDefault="0082235E" w:rsidP="004E687E">
            <w:pPr>
              <w:jc w:val="right"/>
              <w:rPr>
                <w:rFonts w:ascii="Tahoma" w:hAnsi="Tahoma" w:cs="Tahoma"/>
                <w:sz w:val="18"/>
                <w:szCs w:val="16"/>
              </w:rPr>
            </w:pPr>
          </w:p>
          <w:p w:rsidR="0082235E" w:rsidRPr="00A2782A" w:rsidRDefault="0082235E" w:rsidP="004E687E">
            <w:pPr>
              <w:jc w:val="right"/>
              <w:rPr>
                <w:rFonts w:ascii="Tahoma" w:hAnsi="Tahoma" w:cs="Tahoma"/>
                <w:sz w:val="18"/>
                <w:szCs w:val="16"/>
              </w:rPr>
            </w:pPr>
            <w:r w:rsidRPr="00A2782A">
              <w:rPr>
                <w:rFonts w:ascii="Tahoma" w:hAnsi="Tahoma" w:cs="Tahoma"/>
                <w:sz w:val="18"/>
                <w:szCs w:val="16"/>
              </w:rPr>
              <w:t>6.393.748</w:t>
            </w:r>
          </w:p>
        </w:tc>
        <w:tc>
          <w:tcPr>
            <w:tcW w:w="1148" w:type="dxa"/>
            <w:tcBorders>
              <w:top w:val="nil"/>
              <w:left w:val="nil"/>
              <w:bottom w:val="single" w:sz="4" w:space="0" w:color="auto"/>
              <w:right w:val="single" w:sz="4" w:space="0" w:color="auto"/>
            </w:tcBorders>
            <w:shd w:val="clear" w:color="auto" w:fill="auto"/>
            <w:vAlign w:val="bottom"/>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0</w:t>
            </w:r>
          </w:p>
        </w:tc>
        <w:tc>
          <w:tcPr>
            <w:tcW w:w="1134" w:type="dxa"/>
            <w:tcBorders>
              <w:top w:val="nil"/>
              <w:left w:val="nil"/>
              <w:bottom w:val="single" w:sz="4" w:space="0" w:color="auto"/>
              <w:right w:val="single" w:sz="4" w:space="0" w:color="auto"/>
            </w:tcBorders>
            <w:shd w:val="clear" w:color="auto" w:fill="auto"/>
            <w:vAlign w:val="bottom"/>
          </w:tcPr>
          <w:p w:rsidR="0082235E" w:rsidRPr="00A2782A" w:rsidRDefault="0082235E" w:rsidP="004E687E">
            <w:pPr>
              <w:jc w:val="right"/>
              <w:rPr>
                <w:rFonts w:ascii="Tahoma" w:hAnsi="Tahoma" w:cs="Tahoma"/>
                <w:color w:val="000000"/>
                <w:sz w:val="18"/>
                <w:szCs w:val="18"/>
              </w:rPr>
            </w:pPr>
            <w:r w:rsidRPr="00A2782A">
              <w:rPr>
                <w:rFonts w:ascii="Tahoma" w:hAnsi="Tahoma" w:cs="Tahoma"/>
                <w:color w:val="000000"/>
                <w:sz w:val="18"/>
                <w:szCs w:val="18"/>
              </w:rPr>
              <w:t>0</w:t>
            </w:r>
          </w:p>
        </w:tc>
      </w:tr>
    </w:tbl>
    <w:p w:rsidR="0082235E" w:rsidRPr="00A2782A" w:rsidRDefault="0082235E" w:rsidP="0082235E">
      <w:pPr>
        <w:pStyle w:val="PlainText"/>
        <w:rPr>
          <w:rFonts w:ascii="Tahoma" w:hAnsi="Tahoma" w:cs="Tahoma"/>
          <w:b/>
          <w:sz w:val="22"/>
          <w:szCs w:val="22"/>
        </w:rPr>
      </w:pPr>
    </w:p>
    <w:p w:rsidR="0082235E" w:rsidRPr="00A2782A" w:rsidRDefault="0082235E" w:rsidP="0082235E">
      <w:pPr>
        <w:pStyle w:val="PlainText"/>
        <w:jc w:val="both"/>
        <w:rPr>
          <w:rFonts w:ascii="Tahoma" w:hAnsi="Tahoma" w:cs="Tahoma"/>
          <w:sz w:val="22"/>
          <w:szCs w:val="22"/>
        </w:rPr>
      </w:pPr>
    </w:p>
    <w:p w:rsidR="0082235E" w:rsidRDefault="0082235E" w:rsidP="0082235E">
      <w:pPr>
        <w:jc w:val="both"/>
        <w:rPr>
          <w:rFonts w:ascii="Tahoma" w:eastAsia="Calibri" w:hAnsi="Tahoma" w:cs="Tahoma"/>
          <w:sz w:val="22"/>
          <w:szCs w:val="22"/>
        </w:rPr>
      </w:pPr>
      <w:r w:rsidRPr="00A2782A">
        <w:rPr>
          <w:rFonts w:ascii="Tahoma" w:eastAsia="Calibri" w:hAnsi="Tahoma" w:cs="Tahoma"/>
          <w:sz w:val="22"/>
          <w:szCs w:val="22"/>
        </w:rPr>
        <w:t xml:space="preserve">Glavni razlozi dospjelosti obveza su nedovoljan ugovoreni maksimalni mjesečni iznos sredstava za provođenje bolničke  i specijalističko-konzilijarne zdravstvene zaštite iz obveznog zdravstvenog </w:t>
      </w:r>
      <w:r w:rsidRPr="007A6A85">
        <w:rPr>
          <w:rFonts w:ascii="Tahoma" w:eastAsia="Calibri" w:hAnsi="Tahoma" w:cs="Tahoma"/>
          <w:sz w:val="22"/>
          <w:szCs w:val="22"/>
        </w:rPr>
        <w:t>osiguranja („</w:t>
      </w:r>
      <w:r w:rsidR="007A6A85" w:rsidRPr="007A6A85">
        <w:rPr>
          <w:rFonts w:ascii="Tahoma" w:eastAsia="Calibri" w:hAnsi="Tahoma" w:cs="Tahoma"/>
          <w:sz w:val="22"/>
          <w:szCs w:val="22"/>
        </w:rPr>
        <w:t>limit</w:t>
      </w:r>
      <w:r w:rsidRPr="007A6A85">
        <w:rPr>
          <w:rFonts w:ascii="Tahoma" w:eastAsia="Calibri" w:hAnsi="Tahoma" w:cs="Tahoma"/>
          <w:sz w:val="22"/>
          <w:szCs w:val="22"/>
        </w:rPr>
        <w:t>“ )</w:t>
      </w:r>
      <w:r w:rsidRPr="00A2782A">
        <w:rPr>
          <w:rFonts w:ascii="Tahoma" w:eastAsia="Calibri" w:hAnsi="Tahoma" w:cs="Tahoma"/>
          <w:sz w:val="22"/>
          <w:szCs w:val="22"/>
        </w:rPr>
        <w:t xml:space="preserve"> kao i nedovoljan ugovoreni mjesečni iznos za ugovorene aktivnosti i programe </w:t>
      </w:r>
      <w:r w:rsidR="007A6A85">
        <w:rPr>
          <w:rFonts w:ascii="Tahoma" w:eastAsia="Calibri" w:hAnsi="Tahoma" w:cs="Tahoma"/>
          <w:sz w:val="22"/>
          <w:szCs w:val="22"/>
        </w:rPr>
        <w:t>„izvan limita</w:t>
      </w:r>
      <w:r w:rsidRPr="00A2782A">
        <w:rPr>
          <w:rFonts w:ascii="Tahoma" w:eastAsia="Calibri" w:hAnsi="Tahoma" w:cs="Tahoma"/>
          <w:sz w:val="22"/>
          <w:szCs w:val="22"/>
        </w:rPr>
        <w:t>“.</w:t>
      </w:r>
      <w:r>
        <w:rPr>
          <w:rFonts w:ascii="Tahoma" w:eastAsia="Calibri" w:hAnsi="Tahoma" w:cs="Tahoma"/>
          <w:sz w:val="22"/>
          <w:szCs w:val="22"/>
        </w:rPr>
        <w:t xml:space="preserve"> </w:t>
      </w:r>
    </w:p>
    <w:p w:rsidR="0082235E" w:rsidRDefault="0082235E" w:rsidP="0082235E">
      <w:pPr>
        <w:jc w:val="both"/>
        <w:rPr>
          <w:rFonts w:ascii="Tahoma" w:eastAsia="Calibri" w:hAnsi="Tahoma" w:cs="Tahoma"/>
          <w:sz w:val="22"/>
          <w:szCs w:val="22"/>
        </w:rPr>
      </w:pPr>
    </w:p>
    <w:p w:rsidR="0082235E" w:rsidRDefault="0082235E" w:rsidP="0082235E">
      <w:pPr>
        <w:jc w:val="both"/>
        <w:rPr>
          <w:rFonts w:ascii="Arial" w:hAnsi="Arial" w:cs="Arial"/>
          <w:sz w:val="20"/>
          <w:szCs w:val="20"/>
          <w:lang w:eastAsia="hr-HR"/>
        </w:rPr>
      </w:pPr>
    </w:p>
    <w:p w:rsidR="0082235E" w:rsidRPr="00E75215" w:rsidRDefault="0082235E" w:rsidP="0082235E">
      <w:pPr>
        <w:pStyle w:val="PlainText"/>
        <w:rPr>
          <w:rFonts w:ascii="Tahoma" w:hAnsi="Tahoma" w:cs="Tahoma"/>
          <w:b/>
          <w:sz w:val="22"/>
          <w:szCs w:val="22"/>
          <w:u w:val="single"/>
        </w:rPr>
      </w:pPr>
    </w:p>
    <w:p w:rsidR="0082235E" w:rsidRPr="001621B4" w:rsidRDefault="0082235E" w:rsidP="0082235E">
      <w:pPr>
        <w:pStyle w:val="PlainText"/>
        <w:ind w:left="4536"/>
        <w:jc w:val="center"/>
        <w:rPr>
          <w:rFonts w:ascii="Tahoma" w:hAnsi="Tahoma" w:cs="Tahoma"/>
          <w:b/>
          <w:sz w:val="22"/>
          <w:szCs w:val="22"/>
        </w:rPr>
      </w:pPr>
      <w:r>
        <w:rPr>
          <w:rFonts w:ascii="Tahoma" w:hAnsi="Tahoma" w:cs="Tahoma"/>
          <w:b/>
          <w:sz w:val="22"/>
          <w:szCs w:val="22"/>
        </w:rPr>
        <w:t>Ravnatelj</w:t>
      </w:r>
    </w:p>
    <w:p w:rsidR="0082235E" w:rsidRPr="001621B4" w:rsidRDefault="0082235E" w:rsidP="0082235E">
      <w:pPr>
        <w:pStyle w:val="PlainText"/>
        <w:ind w:left="4536"/>
        <w:jc w:val="center"/>
        <w:rPr>
          <w:rFonts w:ascii="Tahoma" w:hAnsi="Tahoma" w:cs="Tahoma"/>
          <w:b/>
          <w:sz w:val="22"/>
          <w:szCs w:val="22"/>
        </w:rPr>
      </w:pPr>
    </w:p>
    <w:p w:rsidR="0082235E" w:rsidRPr="006A426B" w:rsidRDefault="0082235E" w:rsidP="0082235E">
      <w:pPr>
        <w:pStyle w:val="PlainText"/>
        <w:ind w:left="4536"/>
        <w:jc w:val="center"/>
        <w:rPr>
          <w:rFonts w:ascii="Tahoma" w:hAnsi="Tahoma" w:cs="Tahoma"/>
          <w:b/>
          <w:sz w:val="22"/>
          <w:szCs w:val="22"/>
        </w:rPr>
      </w:pPr>
      <w:r w:rsidRPr="00E51A3C">
        <w:rPr>
          <w:rFonts w:ascii="Tahoma" w:hAnsi="Tahoma" w:cs="Tahoma"/>
          <w:b/>
          <w:sz w:val="22"/>
          <w:szCs w:val="22"/>
        </w:rPr>
        <w:t xml:space="preserve">Prof. dr. </w:t>
      </w:r>
      <w:proofErr w:type="spellStart"/>
      <w:r w:rsidRPr="00E51A3C">
        <w:rPr>
          <w:rFonts w:ascii="Tahoma" w:hAnsi="Tahoma" w:cs="Tahoma"/>
          <w:b/>
          <w:sz w:val="22"/>
          <w:szCs w:val="22"/>
        </w:rPr>
        <w:t>sc</w:t>
      </w:r>
      <w:proofErr w:type="spellEnd"/>
      <w:r w:rsidRPr="00E51A3C">
        <w:rPr>
          <w:rFonts w:ascii="Tahoma" w:hAnsi="Tahoma" w:cs="Tahoma"/>
          <w:b/>
          <w:sz w:val="22"/>
          <w:szCs w:val="22"/>
        </w:rPr>
        <w:t xml:space="preserve">. Ante </w:t>
      </w:r>
      <w:proofErr w:type="spellStart"/>
      <w:r w:rsidRPr="00E51A3C">
        <w:rPr>
          <w:rFonts w:ascii="Tahoma" w:hAnsi="Tahoma" w:cs="Tahoma"/>
          <w:b/>
          <w:sz w:val="22"/>
          <w:szCs w:val="22"/>
        </w:rPr>
        <w:t>Ćorušić</w:t>
      </w:r>
      <w:proofErr w:type="spellEnd"/>
      <w:r>
        <w:rPr>
          <w:rFonts w:ascii="Tahoma" w:hAnsi="Tahoma" w:cs="Tahoma"/>
          <w:b/>
          <w:sz w:val="22"/>
          <w:szCs w:val="22"/>
        </w:rPr>
        <w:t>, dr. med.</w:t>
      </w:r>
    </w:p>
    <w:p w:rsidR="008607CB" w:rsidRDefault="008607CB" w:rsidP="000B6089">
      <w:pPr>
        <w:jc w:val="both"/>
        <w:rPr>
          <w:rFonts w:ascii="Tahoma" w:hAnsi="Tahoma" w:cs="Tahoma"/>
          <w:sz w:val="22"/>
          <w:szCs w:val="22"/>
        </w:rPr>
      </w:pPr>
    </w:p>
    <w:p w:rsidR="008607CB" w:rsidRDefault="008607CB" w:rsidP="000B6089">
      <w:pPr>
        <w:jc w:val="both"/>
        <w:rPr>
          <w:rFonts w:ascii="Tahoma" w:hAnsi="Tahoma" w:cs="Tahoma"/>
          <w:sz w:val="22"/>
          <w:szCs w:val="22"/>
        </w:rPr>
      </w:pPr>
    </w:p>
    <w:p w:rsidR="008607CB" w:rsidRDefault="008607CB" w:rsidP="000B6089">
      <w:pPr>
        <w:jc w:val="both"/>
        <w:rPr>
          <w:rFonts w:ascii="Tahoma" w:hAnsi="Tahoma" w:cs="Tahoma"/>
          <w:sz w:val="22"/>
          <w:szCs w:val="22"/>
        </w:rPr>
      </w:pPr>
    </w:p>
    <w:p w:rsidR="008607CB" w:rsidRDefault="008607CB" w:rsidP="000B6089">
      <w:pPr>
        <w:jc w:val="both"/>
        <w:rPr>
          <w:rFonts w:ascii="Tahoma" w:hAnsi="Tahoma" w:cs="Tahoma"/>
          <w:sz w:val="22"/>
          <w:szCs w:val="22"/>
        </w:rPr>
      </w:pPr>
    </w:p>
    <w:p w:rsidR="008607CB" w:rsidRDefault="008607CB" w:rsidP="000B6089">
      <w:pPr>
        <w:jc w:val="both"/>
        <w:rPr>
          <w:rFonts w:ascii="Tahoma" w:hAnsi="Tahoma" w:cs="Tahoma"/>
          <w:sz w:val="22"/>
          <w:szCs w:val="22"/>
        </w:rPr>
      </w:pPr>
    </w:p>
    <w:p w:rsidR="008607CB" w:rsidRDefault="008607CB" w:rsidP="000B6089">
      <w:pPr>
        <w:jc w:val="both"/>
        <w:rPr>
          <w:rFonts w:ascii="Tahoma" w:hAnsi="Tahoma" w:cs="Tahoma"/>
          <w:sz w:val="22"/>
          <w:szCs w:val="22"/>
        </w:rPr>
      </w:pPr>
    </w:p>
    <w:p w:rsidR="0045641C" w:rsidRDefault="0045641C" w:rsidP="000B6089">
      <w:pPr>
        <w:jc w:val="both"/>
        <w:rPr>
          <w:rFonts w:ascii="Tahoma" w:hAnsi="Tahoma" w:cs="Tahoma"/>
          <w:sz w:val="22"/>
          <w:szCs w:val="22"/>
        </w:rPr>
      </w:pPr>
    </w:p>
    <w:sectPr w:rsidR="0045641C" w:rsidSect="00AA0183">
      <w:headerReference w:type="even" r:id="rId9"/>
      <w:footerReference w:type="even" r:id="rId10"/>
      <w:footerReference w:type="defaul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21C" w:rsidRDefault="003E621C">
      <w:r>
        <w:separator/>
      </w:r>
    </w:p>
  </w:endnote>
  <w:endnote w:type="continuationSeparator" w:id="0">
    <w:p w:rsidR="003E621C" w:rsidRDefault="003E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FC" w:rsidRDefault="000514FC" w:rsidP="00E501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14FC" w:rsidRDefault="000514FC" w:rsidP="00E501B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FC" w:rsidRDefault="000514FC" w:rsidP="00E501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34E9">
      <w:rPr>
        <w:rStyle w:val="PageNumber"/>
        <w:noProof/>
      </w:rPr>
      <w:t>18</w:t>
    </w:r>
    <w:r>
      <w:rPr>
        <w:rStyle w:val="PageNumber"/>
      </w:rPr>
      <w:fldChar w:fldCharType="end"/>
    </w:r>
  </w:p>
  <w:p w:rsidR="000514FC" w:rsidRDefault="000514FC" w:rsidP="00E501B9">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FC" w:rsidRDefault="000514FC" w:rsidP="003E0C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514FC" w:rsidRDefault="000514FC" w:rsidP="00E501B9">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21C" w:rsidRDefault="003E621C">
      <w:r>
        <w:separator/>
      </w:r>
    </w:p>
  </w:footnote>
  <w:footnote w:type="continuationSeparator" w:id="0">
    <w:p w:rsidR="003E621C" w:rsidRDefault="003E62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FC" w:rsidRDefault="000514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4FC" w:rsidRDefault="000514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25691"/>
    <w:multiLevelType w:val="hybridMultilevel"/>
    <w:tmpl w:val="79A4E5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4E52F5"/>
    <w:multiLevelType w:val="hybridMultilevel"/>
    <w:tmpl w:val="C8867A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C94623"/>
    <w:multiLevelType w:val="multilevel"/>
    <w:tmpl w:val="012C69BC"/>
    <w:lvl w:ilvl="0">
      <w:start w:val="1"/>
      <w:numFmt w:val="decimal"/>
      <w:lvlText w:val="%1."/>
      <w:lvlJc w:val="left"/>
      <w:pPr>
        <w:ind w:left="885" w:hanging="885"/>
      </w:pPr>
      <w:rPr>
        <w:rFonts w:hint="default"/>
      </w:rPr>
    </w:lvl>
    <w:lvl w:ilvl="1">
      <w:start w:val="1"/>
      <w:numFmt w:val="decimal"/>
      <w:lvlText w:val="%1.%2."/>
      <w:lvlJc w:val="left"/>
      <w:pPr>
        <w:ind w:left="1185" w:hanging="885"/>
      </w:pPr>
      <w:rPr>
        <w:rFonts w:hint="default"/>
      </w:rPr>
    </w:lvl>
    <w:lvl w:ilvl="2">
      <w:start w:val="2"/>
      <w:numFmt w:val="decimal"/>
      <w:lvlText w:val="%1.%2.%3."/>
      <w:lvlJc w:val="left"/>
      <w:pPr>
        <w:ind w:left="16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640" w:hanging="1440"/>
      </w:pPr>
      <w:rPr>
        <w:rFonts w:hint="default"/>
      </w:rPr>
    </w:lvl>
    <w:lvl w:ilvl="5">
      <w:start w:val="1"/>
      <w:numFmt w:val="decimal"/>
      <w:lvlText w:val="%1.%2.%3.%4.%5.%6."/>
      <w:lvlJc w:val="left"/>
      <w:pPr>
        <w:ind w:left="3300" w:hanging="180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4260" w:hanging="2160"/>
      </w:pPr>
      <w:rPr>
        <w:rFonts w:hint="default"/>
      </w:rPr>
    </w:lvl>
    <w:lvl w:ilvl="8">
      <w:start w:val="1"/>
      <w:numFmt w:val="decimal"/>
      <w:lvlText w:val="%1.%2.%3.%4.%5.%6.%7.%8.%9."/>
      <w:lvlJc w:val="left"/>
      <w:pPr>
        <w:ind w:left="4920" w:hanging="2520"/>
      </w:pPr>
      <w:rPr>
        <w:rFonts w:hint="default"/>
      </w:rPr>
    </w:lvl>
  </w:abstractNum>
  <w:abstractNum w:abstractNumId="4" w15:restartNumberingAfterBreak="0">
    <w:nsid w:val="1063522E"/>
    <w:multiLevelType w:val="hybridMultilevel"/>
    <w:tmpl w:val="993C35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C20C23"/>
    <w:multiLevelType w:val="hybridMultilevel"/>
    <w:tmpl w:val="88464A6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16F43F2F"/>
    <w:multiLevelType w:val="hybridMultilevel"/>
    <w:tmpl w:val="4A2039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9F0AC5"/>
    <w:multiLevelType w:val="hybridMultilevel"/>
    <w:tmpl w:val="BE0098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447E04"/>
    <w:multiLevelType w:val="hybridMultilevel"/>
    <w:tmpl w:val="7A08FB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D066EC"/>
    <w:multiLevelType w:val="multilevel"/>
    <w:tmpl w:val="5DEA4EF4"/>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34525A86"/>
    <w:multiLevelType w:val="multilevel"/>
    <w:tmpl w:val="ACCA3D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371D081E"/>
    <w:multiLevelType w:val="multilevel"/>
    <w:tmpl w:val="0096DF0E"/>
    <w:lvl w:ilvl="0">
      <w:start w:val="2"/>
      <w:numFmt w:val="decimal"/>
      <w:lvlText w:val="%1"/>
      <w:lvlJc w:val="left"/>
      <w:pPr>
        <w:ind w:left="600" w:hanging="60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2" w15:restartNumberingAfterBreak="0">
    <w:nsid w:val="3E4B0C88"/>
    <w:multiLevelType w:val="multilevel"/>
    <w:tmpl w:val="ACCA3D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4BD324D4"/>
    <w:multiLevelType w:val="multilevel"/>
    <w:tmpl w:val="20746866"/>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5D8F6F2D"/>
    <w:multiLevelType w:val="multilevel"/>
    <w:tmpl w:val="5F9EBCFA"/>
    <w:lvl w:ilvl="0">
      <w:start w:val="1"/>
      <w:numFmt w:val="upperRoman"/>
      <w:lvlText w:val="%1."/>
      <w:lvlJc w:val="left"/>
      <w:pPr>
        <w:ind w:left="1080" w:hanging="72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5E0F2FE9"/>
    <w:multiLevelType w:val="multilevel"/>
    <w:tmpl w:val="62CC8FF2"/>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15:restartNumberingAfterBreak="0">
    <w:nsid w:val="5F917F9C"/>
    <w:multiLevelType w:val="hybridMultilevel"/>
    <w:tmpl w:val="4A2039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1EE45C7"/>
    <w:multiLevelType w:val="hybridMultilevel"/>
    <w:tmpl w:val="B360FAE4"/>
    <w:lvl w:ilvl="0" w:tplc="C714E5DC">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52A3BE6"/>
    <w:multiLevelType w:val="multilevel"/>
    <w:tmpl w:val="5036BC44"/>
    <w:lvl w:ilvl="0">
      <w:start w:val="1"/>
      <w:numFmt w:val="decimal"/>
      <w:lvlText w:val="%1."/>
      <w:lvlJc w:val="left"/>
      <w:pPr>
        <w:ind w:left="900" w:hanging="900"/>
      </w:pPr>
      <w:rPr>
        <w:rFonts w:hint="default"/>
      </w:rPr>
    </w:lvl>
    <w:lvl w:ilvl="1">
      <w:start w:val="1"/>
      <w:numFmt w:val="decimal"/>
      <w:lvlText w:val="%1.%2."/>
      <w:lvlJc w:val="left"/>
      <w:pPr>
        <w:ind w:left="1260" w:hanging="900"/>
      </w:pPr>
      <w:rPr>
        <w:rFonts w:hint="default"/>
      </w:rPr>
    </w:lvl>
    <w:lvl w:ilvl="2">
      <w:start w:val="1"/>
      <w:numFmt w:val="decimal"/>
      <w:lvlText w:val="%1.%2.%3."/>
      <w:lvlJc w:val="left"/>
      <w:pPr>
        <w:ind w:left="1800" w:hanging="1080"/>
      </w:pPr>
      <w:rPr>
        <w:rFonts w:hint="default"/>
      </w:rPr>
    </w:lvl>
    <w:lvl w:ilvl="3">
      <w:start w:val="2"/>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6EB0324A"/>
    <w:multiLevelType w:val="hybridMultilevel"/>
    <w:tmpl w:val="4A2039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6D222A9"/>
    <w:multiLevelType w:val="hybridMultilevel"/>
    <w:tmpl w:val="4A2039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3"/>
  </w:num>
  <w:num w:numId="3">
    <w:abstractNumId w:val="18"/>
  </w:num>
  <w:num w:numId="4">
    <w:abstractNumId w:val="3"/>
  </w:num>
  <w:num w:numId="5">
    <w:abstractNumId w:val="2"/>
  </w:num>
  <w:num w:numId="6">
    <w:abstractNumId w:val="6"/>
  </w:num>
  <w:num w:numId="7">
    <w:abstractNumId w:val="14"/>
  </w:num>
  <w:num w:numId="8">
    <w:abstractNumId w:val="4"/>
  </w:num>
  <w:num w:numId="9">
    <w:abstractNumId w:val="17"/>
  </w:num>
  <w:num w:numId="10">
    <w:abstractNumId w:val="5"/>
  </w:num>
  <w:num w:numId="11">
    <w:abstractNumId w:val="8"/>
  </w:num>
  <w:num w:numId="12">
    <w:abstractNumId w:val="12"/>
  </w:num>
  <w:num w:numId="13">
    <w:abstractNumId w:val="15"/>
  </w:num>
  <w:num w:numId="14">
    <w:abstractNumId w:val="11"/>
  </w:num>
  <w:num w:numId="15">
    <w:abstractNumId w:val="1"/>
  </w:num>
  <w:num w:numId="16">
    <w:abstractNumId w:val="7"/>
  </w:num>
  <w:num w:numId="17">
    <w:abstractNumId w:val="9"/>
  </w:num>
  <w:num w:numId="18">
    <w:abstractNumId w:val="20"/>
  </w:num>
  <w:num w:numId="19">
    <w:abstractNumId w:val="19"/>
  </w:num>
  <w:num w:numId="2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AD"/>
    <w:rsid w:val="00000C7F"/>
    <w:rsid w:val="00001C73"/>
    <w:rsid w:val="0000273E"/>
    <w:rsid w:val="000027EA"/>
    <w:rsid w:val="00005ED8"/>
    <w:rsid w:val="000067CB"/>
    <w:rsid w:val="00006AE0"/>
    <w:rsid w:val="00006FCD"/>
    <w:rsid w:val="00007542"/>
    <w:rsid w:val="000077DA"/>
    <w:rsid w:val="00010550"/>
    <w:rsid w:val="0001087C"/>
    <w:rsid w:val="00010935"/>
    <w:rsid w:val="00010CC7"/>
    <w:rsid w:val="000116EB"/>
    <w:rsid w:val="00011860"/>
    <w:rsid w:val="00011B8B"/>
    <w:rsid w:val="00011CAE"/>
    <w:rsid w:val="00012139"/>
    <w:rsid w:val="000121D6"/>
    <w:rsid w:val="0001268F"/>
    <w:rsid w:val="00012691"/>
    <w:rsid w:val="00013735"/>
    <w:rsid w:val="000144ED"/>
    <w:rsid w:val="0001469A"/>
    <w:rsid w:val="000153B7"/>
    <w:rsid w:val="000155E7"/>
    <w:rsid w:val="000166EA"/>
    <w:rsid w:val="00016D6B"/>
    <w:rsid w:val="0001765A"/>
    <w:rsid w:val="00017E95"/>
    <w:rsid w:val="00021412"/>
    <w:rsid w:val="00021C81"/>
    <w:rsid w:val="00022CB4"/>
    <w:rsid w:val="000233DC"/>
    <w:rsid w:val="0002343E"/>
    <w:rsid w:val="0002360B"/>
    <w:rsid w:val="0002375D"/>
    <w:rsid w:val="00023A8F"/>
    <w:rsid w:val="00024C74"/>
    <w:rsid w:val="0002587C"/>
    <w:rsid w:val="000258BD"/>
    <w:rsid w:val="000261A9"/>
    <w:rsid w:val="0002622C"/>
    <w:rsid w:val="00026C90"/>
    <w:rsid w:val="00027B16"/>
    <w:rsid w:val="0003018C"/>
    <w:rsid w:val="0003059A"/>
    <w:rsid w:val="00030A2F"/>
    <w:rsid w:val="00030D2D"/>
    <w:rsid w:val="00030F15"/>
    <w:rsid w:val="00031183"/>
    <w:rsid w:val="00031C70"/>
    <w:rsid w:val="0003255E"/>
    <w:rsid w:val="00032AFB"/>
    <w:rsid w:val="00033426"/>
    <w:rsid w:val="00033E1B"/>
    <w:rsid w:val="0003404E"/>
    <w:rsid w:val="000340EB"/>
    <w:rsid w:val="00035F7E"/>
    <w:rsid w:val="00036AA7"/>
    <w:rsid w:val="00036CE2"/>
    <w:rsid w:val="00036DF8"/>
    <w:rsid w:val="00037633"/>
    <w:rsid w:val="0004023C"/>
    <w:rsid w:val="000406A8"/>
    <w:rsid w:val="00040BB7"/>
    <w:rsid w:val="00040DAC"/>
    <w:rsid w:val="00040E9A"/>
    <w:rsid w:val="00041639"/>
    <w:rsid w:val="00041EA0"/>
    <w:rsid w:val="00042177"/>
    <w:rsid w:val="00042399"/>
    <w:rsid w:val="0004293A"/>
    <w:rsid w:val="0004326F"/>
    <w:rsid w:val="00043946"/>
    <w:rsid w:val="00044B82"/>
    <w:rsid w:val="00044DFD"/>
    <w:rsid w:val="00045716"/>
    <w:rsid w:val="000462E8"/>
    <w:rsid w:val="00046990"/>
    <w:rsid w:val="00047202"/>
    <w:rsid w:val="0004789C"/>
    <w:rsid w:val="00050542"/>
    <w:rsid w:val="000514FC"/>
    <w:rsid w:val="00051DC6"/>
    <w:rsid w:val="0005278A"/>
    <w:rsid w:val="000532A0"/>
    <w:rsid w:val="0005361F"/>
    <w:rsid w:val="0005364D"/>
    <w:rsid w:val="00053925"/>
    <w:rsid w:val="00053C58"/>
    <w:rsid w:val="00053E90"/>
    <w:rsid w:val="00054C1C"/>
    <w:rsid w:val="00054F39"/>
    <w:rsid w:val="000550F5"/>
    <w:rsid w:val="000561BA"/>
    <w:rsid w:val="000563C4"/>
    <w:rsid w:val="000564F5"/>
    <w:rsid w:val="00056E4D"/>
    <w:rsid w:val="000570E8"/>
    <w:rsid w:val="0005734B"/>
    <w:rsid w:val="00057BAD"/>
    <w:rsid w:val="000600F1"/>
    <w:rsid w:val="00061484"/>
    <w:rsid w:val="000625C5"/>
    <w:rsid w:val="0006338F"/>
    <w:rsid w:val="00063AEA"/>
    <w:rsid w:val="00063CC5"/>
    <w:rsid w:val="0006430B"/>
    <w:rsid w:val="00064728"/>
    <w:rsid w:val="00064CEA"/>
    <w:rsid w:val="00065304"/>
    <w:rsid w:val="00065DBE"/>
    <w:rsid w:val="00065E09"/>
    <w:rsid w:val="00066523"/>
    <w:rsid w:val="00066635"/>
    <w:rsid w:val="000669CA"/>
    <w:rsid w:val="00066D6F"/>
    <w:rsid w:val="00066EB5"/>
    <w:rsid w:val="00067301"/>
    <w:rsid w:val="00070168"/>
    <w:rsid w:val="000703AE"/>
    <w:rsid w:val="000703E5"/>
    <w:rsid w:val="00070840"/>
    <w:rsid w:val="00070D21"/>
    <w:rsid w:val="0007123F"/>
    <w:rsid w:val="00071566"/>
    <w:rsid w:val="000719B0"/>
    <w:rsid w:val="00072C2E"/>
    <w:rsid w:val="000730EB"/>
    <w:rsid w:val="00073199"/>
    <w:rsid w:val="00073F4A"/>
    <w:rsid w:val="00074FA8"/>
    <w:rsid w:val="00075130"/>
    <w:rsid w:val="00075D37"/>
    <w:rsid w:val="00076708"/>
    <w:rsid w:val="00076768"/>
    <w:rsid w:val="00076C0B"/>
    <w:rsid w:val="00076F01"/>
    <w:rsid w:val="00077530"/>
    <w:rsid w:val="00077D64"/>
    <w:rsid w:val="00080172"/>
    <w:rsid w:val="000801E7"/>
    <w:rsid w:val="000801F2"/>
    <w:rsid w:val="000808F8"/>
    <w:rsid w:val="000809CA"/>
    <w:rsid w:val="0008162C"/>
    <w:rsid w:val="00081D26"/>
    <w:rsid w:val="000822C8"/>
    <w:rsid w:val="00082C23"/>
    <w:rsid w:val="00083055"/>
    <w:rsid w:val="00083AAC"/>
    <w:rsid w:val="0008502B"/>
    <w:rsid w:val="0008613E"/>
    <w:rsid w:val="0008642F"/>
    <w:rsid w:val="00087B0B"/>
    <w:rsid w:val="00090283"/>
    <w:rsid w:val="000907E1"/>
    <w:rsid w:val="00090A75"/>
    <w:rsid w:val="00090BC4"/>
    <w:rsid w:val="0009127B"/>
    <w:rsid w:val="000917C0"/>
    <w:rsid w:val="00091D8F"/>
    <w:rsid w:val="00092C6D"/>
    <w:rsid w:val="00094C7E"/>
    <w:rsid w:val="00095122"/>
    <w:rsid w:val="00095489"/>
    <w:rsid w:val="00095A3D"/>
    <w:rsid w:val="00095ED1"/>
    <w:rsid w:val="00096438"/>
    <w:rsid w:val="00096D4C"/>
    <w:rsid w:val="0009719F"/>
    <w:rsid w:val="000A1790"/>
    <w:rsid w:val="000A1DD1"/>
    <w:rsid w:val="000A205E"/>
    <w:rsid w:val="000A24BA"/>
    <w:rsid w:val="000A2C3A"/>
    <w:rsid w:val="000A2CF3"/>
    <w:rsid w:val="000A2D4D"/>
    <w:rsid w:val="000A40E3"/>
    <w:rsid w:val="000A496D"/>
    <w:rsid w:val="000A5075"/>
    <w:rsid w:val="000A5ED6"/>
    <w:rsid w:val="000A63D4"/>
    <w:rsid w:val="000A6B4B"/>
    <w:rsid w:val="000B036F"/>
    <w:rsid w:val="000B03BC"/>
    <w:rsid w:val="000B07CB"/>
    <w:rsid w:val="000B10F2"/>
    <w:rsid w:val="000B1822"/>
    <w:rsid w:val="000B1ED1"/>
    <w:rsid w:val="000B3183"/>
    <w:rsid w:val="000B32E6"/>
    <w:rsid w:val="000B4256"/>
    <w:rsid w:val="000B42DA"/>
    <w:rsid w:val="000B43DC"/>
    <w:rsid w:val="000B43EE"/>
    <w:rsid w:val="000B48B2"/>
    <w:rsid w:val="000B48E5"/>
    <w:rsid w:val="000B4BB3"/>
    <w:rsid w:val="000B4F90"/>
    <w:rsid w:val="000B5149"/>
    <w:rsid w:val="000B55DB"/>
    <w:rsid w:val="000B5D56"/>
    <w:rsid w:val="000B6089"/>
    <w:rsid w:val="000B75F8"/>
    <w:rsid w:val="000B7699"/>
    <w:rsid w:val="000C01B0"/>
    <w:rsid w:val="000C0323"/>
    <w:rsid w:val="000C2197"/>
    <w:rsid w:val="000C2507"/>
    <w:rsid w:val="000C2529"/>
    <w:rsid w:val="000C3288"/>
    <w:rsid w:val="000C4C26"/>
    <w:rsid w:val="000C4DCF"/>
    <w:rsid w:val="000C5107"/>
    <w:rsid w:val="000C567A"/>
    <w:rsid w:val="000C581B"/>
    <w:rsid w:val="000C67F9"/>
    <w:rsid w:val="000C71F5"/>
    <w:rsid w:val="000C75D9"/>
    <w:rsid w:val="000D0500"/>
    <w:rsid w:val="000D0D49"/>
    <w:rsid w:val="000D1E94"/>
    <w:rsid w:val="000D1FEB"/>
    <w:rsid w:val="000D2504"/>
    <w:rsid w:val="000D4D7A"/>
    <w:rsid w:val="000D5191"/>
    <w:rsid w:val="000D5662"/>
    <w:rsid w:val="000D65AB"/>
    <w:rsid w:val="000D69FA"/>
    <w:rsid w:val="000D7244"/>
    <w:rsid w:val="000D7619"/>
    <w:rsid w:val="000D7A4E"/>
    <w:rsid w:val="000D7EB9"/>
    <w:rsid w:val="000E007C"/>
    <w:rsid w:val="000E105F"/>
    <w:rsid w:val="000E189A"/>
    <w:rsid w:val="000E1DFB"/>
    <w:rsid w:val="000E235F"/>
    <w:rsid w:val="000E3BC3"/>
    <w:rsid w:val="000E45FE"/>
    <w:rsid w:val="000E59AA"/>
    <w:rsid w:val="000E5CBB"/>
    <w:rsid w:val="000E6879"/>
    <w:rsid w:val="000E6E8F"/>
    <w:rsid w:val="000E700D"/>
    <w:rsid w:val="000E7488"/>
    <w:rsid w:val="000E7A4C"/>
    <w:rsid w:val="000F00F0"/>
    <w:rsid w:val="000F0323"/>
    <w:rsid w:val="000F06C9"/>
    <w:rsid w:val="000F1285"/>
    <w:rsid w:val="000F136C"/>
    <w:rsid w:val="000F14FB"/>
    <w:rsid w:val="000F2942"/>
    <w:rsid w:val="000F296A"/>
    <w:rsid w:val="000F2D08"/>
    <w:rsid w:val="000F318E"/>
    <w:rsid w:val="000F3624"/>
    <w:rsid w:val="000F37C5"/>
    <w:rsid w:val="000F3FE3"/>
    <w:rsid w:val="000F41A0"/>
    <w:rsid w:val="000F4D3B"/>
    <w:rsid w:val="000F508C"/>
    <w:rsid w:val="000F56F3"/>
    <w:rsid w:val="000F6730"/>
    <w:rsid w:val="000F6EAB"/>
    <w:rsid w:val="000F6F55"/>
    <w:rsid w:val="000F7557"/>
    <w:rsid w:val="000F760F"/>
    <w:rsid w:val="000F770F"/>
    <w:rsid w:val="000F7A49"/>
    <w:rsid w:val="000F7CCD"/>
    <w:rsid w:val="001007BC"/>
    <w:rsid w:val="00100D87"/>
    <w:rsid w:val="0010104F"/>
    <w:rsid w:val="00101440"/>
    <w:rsid w:val="00101985"/>
    <w:rsid w:val="001019B5"/>
    <w:rsid w:val="00102AF9"/>
    <w:rsid w:val="001030E8"/>
    <w:rsid w:val="001030F6"/>
    <w:rsid w:val="001038F2"/>
    <w:rsid w:val="001038F8"/>
    <w:rsid w:val="00103B9F"/>
    <w:rsid w:val="0010453D"/>
    <w:rsid w:val="00107F1D"/>
    <w:rsid w:val="00110FF6"/>
    <w:rsid w:val="00112948"/>
    <w:rsid w:val="00113363"/>
    <w:rsid w:val="00113CB1"/>
    <w:rsid w:val="0011455C"/>
    <w:rsid w:val="0011463D"/>
    <w:rsid w:val="00114C3D"/>
    <w:rsid w:val="00115E10"/>
    <w:rsid w:val="00117C58"/>
    <w:rsid w:val="00121517"/>
    <w:rsid w:val="00122301"/>
    <w:rsid w:val="00123200"/>
    <w:rsid w:val="00123288"/>
    <w:rsid w:val="001243F4"/>
    <w:rsid w:val="00125378"/>
    <w:rsid w:val="00125622"/>
    <w:rsid w:val="00125C63"/>
    <w:rsid w:val="00126155"/>
    <w:rsid w:val="00126512"/>
    <w:rsid w:val="0012766A"/>
    <w:rsid w:val="00130401"/>
    <w:rsid w:val="0013060D"/>
    <w:rsid w:val="00130785"/>
    <w:rsid w:val="00130A50"/>
    <w:rsid w:val="001315AD"/>
    <w:rsid w:val="001320AB"/>
    <w:rsid w:val="001324CC"/>
    <w:rsid w:val="00132F23"/>
    <w:rsid w:val="00133B39"/>
    <w:rsid w:val="00134825"/>
    <w:rsid w:val="001358D9"/>
    <w:rsid w:val="00135A7A"/>
    <w:rsid w:val="00135CA4"/>
    <w:rsid w:val="00136357"/>
    <w:rsid w:val="00136720"/>
    <w:rsid w:val="001369F8"/>
    <w:rsid w:val="0013714D"/>
    <w:rsid w:val="00137886"/>
    <w:rsid w:val="00137D4B"/>
    <w:rsid w:val="00137E17"/>
    <w:rsid w:val="0014052B"/>
    <w:rsid w:val="001407F0"/>
    <w:rsid w:val="00141293"/>
    <w:rsid w:val="0014196C"/>
    <w:rsid w:val="00141B4D"/>
    <w:rsid w:val="00142312"/>
    <w:rsid w:val="00142322"/>
    <w:rsid w:val="00142FDC"/>
    <w:rsid w:val="00144354"/>
    <w:rsid w:val="00144977"/>
    <w:rsid w:val="00144EFD"/>
    <w:rsid w:val="00145647"/>
    <w:rsid w:val="00145722"/>
    <w:rsid w:val="0014573C"/>
    <w:rsid w:val="00145C70"/>
    <w:rsid w:val="00145E67"/>
    <w:rsid w:val="00146A3A"/>
    <w:rsid w:val="00146B4D"/>
    <w:rsid w:val="001473AB"/>
    <w:rsid w:val="0015014A"/>
    <w:rsid w:val="0015042A"/>
    <w:rsid w:val="001505FE"/>
    <w:rsid w:val="001517B1"/>
    <w:rsid w:val="00151A4F"/>
    <w:rsid w:val="0015251D"/>
    <w:rsid w:val="00152BB7"/>
    <w:rsid w:val="00153053"/>
    <w:rsid w:val="00153F7F"/>
    <w:rsid w:val="00155879"/>
    <w:rsid w:val="00156072"/>
    <w:rsid w:val="001567AB"/>
    <w:rsid w:val="001568E6"/>
    <w:rsid w:val="00156C4C"/>
    <w:rsid w:val="001570E2"/>
    <w:rsid w:val="00160173"/>
    <w:rsid w:val="0016095F"/>
    <w:rsid w:val="001621B4"/>
    <w:rsid w:val="001629BC"/>
    <w:rsid w:val="00164DEE"/>
    <w:rsid w:val="00164F42"/>
    <w:rsid w:val="0016503A"/>
    <w:rsid w:val="00165067"/>
    <w:rsid w:val="0016593C"/>
    <w:rsid w:val="0016672C"/>
    <w:rsid w:val="00166ABB"/>
    <w:rsid w:val="00167CCC"/>
    <w:rsid w:val="0017026E"/>
    <w:rsid w:val="00170633"/>
    <w:rsid w:val="001720A9"/>
    <w:rsid w:val="0017298A"/>
    <w:rsid w:val="00172A4B"/>
    <w:rsid w:val="00173303"/>
    <w:rsid w:val="00173C52"/>
    <w:rsid w:val="0017400D"/>
    <w:rsid w:val="001742F5"/>
    <w:rsid w:val="00174C35"/>
    <w:rsid w:val="001807D4"/>
    <w:rsid w:val="0018119D"/>
    <w:rsid w:val="0018206B"/>
    <w:rsid w:val="00182190"/>
    <w:rsid w:val="0018231F"/>
    <w:rsid w:val="00183476"/>
    <w:rsid w:val="0018368E"/>
    <w:rsid w:val="001842D7"/>
    <w:rsid w:val="001849FD"/>
    <w:rsid w:val="00184AFE"/>
    <w:rsid w:val="00185307"/>
    <w:rsid w:val="00186179"/>
    <w:rsid w:val="00186E0B"/>
    <w:rsid w:val="00186E9C"/>
    <w:rsid w:val="00190982"/>
    <w:rsid w:val="00190CEC"/>
    <w:rsid w:val="0019119E"/>
    <w:rsid w:val="001915F4"/>
    <w:rsid w:val="00191799"/>
    <w:rsid w:val="00191CBE"/>
    <w:rsid w:val="00192C7F"/>
    <w:rsid w:val="00193450"/>
    <w:rsid w:val="001948B4"/>
    <w:rsid w:val="00194D2F"/>
    <w:rsid w:val="001959B4"/>
    <w:rsid w:val="00195A22"/>
    <w:rsid w:val="00196563"/>
    <w:rsid w:val="00196D14"/>
    <w:rsid w:val="00197D61"/>
    <w:rsid w:val="001A01C8"/>
    <w:rsid w:val="001A0D8B"/>
    <w:rsid w:val="001A142A"/>
    <w:rsid w:val="001A2707"/>
    <w:rsid w:val="001A2DBA"/>
    <w:rsid w:val="001A3032"/>
    <w:rsid w:val="001A3243"/>
    <w:rsid w:val="001A337B"/>
    <w:rsid w:val="001A3519"/>
    <w:rsid w:val="001A37C4"/>
    <w:rsid w:val="001A42DA"/>
    <w:rsid w:val="001A4385"/>
    <w:rsid w:val="001A4452"/>
    <w:rsid w:val="001A4E32"/>
    <w:rsid w:val="001A5696"/>
    <w:rsid w:val="001A5FB3"/>
    <w:rsid w:val="001A706C"/>
    <w:rsid w:val="001A71B8"/>
    <w:rsid w:val="001A7970"/>
    <w:rsid w:val="001A7991"/>
    <w:rsid w:val="001B0193"/>
    <w:rsid w:val="001B0299"/>
    <w:rsid w:val="001B097F"/>
    <w:rsid w:val="001B14AD"/>
    <w:rsid w:val="001B159A"/>
    <w:rsid w:val="001B200F"/>
    <w:rsid w:val="001B452F"/>
    <w:rsid w:val="001B46BB"/>
    <w:rsid w:val="001B5063"/>
    <w:rsid w:val="001B52BB"/>
    <w:rsid w:val="001B6B58"/>
    <w:rsid w:val="001B73EE"/>
    <w:rsid w:val="001C00BD"/>
    <w:rsid w:val="001C0666"/>
    <w:rsid w:val="001C0842"/>
    <w:rsid w:val="001C13D6"/>
    <w:rsid w:val="001C157D"/>
    <w:rsid w:val="001C1704"/>
    <w:rsid w:val="001C1A52"/>
    <w:rsid w:val="001C1D9E"/>
    <w:rsid w:val="001C22A4"/>
    <w:rsid w:val="001C24F4"/>
    <w:rsid w:val="001C3348"/>
    <w:rsid w:val="001C4285"/>
    <w:rsid w:val="001C4ACA"/>
    <w:rsid w:val="001C4CD3"/>
    <w:rsid w:val="001C4F39"/>
    <w:rsid w:val="001C579A"/>
    <w:rsid w:val="001C63F8"/>
    <w:rsid w:val="001C6C9A"/>
    <w:rsid w:val="001C73F4"/>
    <w:rsid w:val="001C7801"/>
    <w:rsid w:val="001C782E"/>
    <w:rsid w:val="001C7D66"/>
    <w:rsid w:val="001D0C96"/>
    <w:rsid w:val="001D19CC"/>
    <w:rsid w:val="001D2DEF"/>
    <w:rsid w:val="001D2ECD"/>
    <w:rsid w:val="001D35F3"/>
    <w:rsid w:val="001D3C0C"/>
    <w:rsid w:val="001D44DD"/>
    <w:rsid w:val="001D5049"/>
    <w:rsid w:val="001D5EF7"/>
    <w:rsid w:val="001D65F2"/>
    <w:rsid w:val="001D6771"/>
    <w:rsid w:val="001D6FB8"/>
    <w:rsid w:val="001D792B"/>
    <w:rsid w:val="001D7ADC"/>
    <w:rsid w:val="001D7C2B"/>
    <w:rsid w:val="001E128E"/>
    <w:rsid w:val="001E15A9"/>
    <w:rsid w:val="001E15ED"/>
    <w:rsid w:val="001E165A"/>
    <w:rsid w:val="001E1E9F"/>
    <w:rsid w:val="001E2BFB"/>
    <w:rsid w:val="001E39F5"/>
    <w:rsid w:val="001E3B0A"/>
    <w:rsid w:val="001E3DF5"/>
    <w:rsid w:val="001E45AC"/>
    <w:rsid w:val="001E486D"/>
    <w:rsid w:val="001E4A7D"/>
    <w:rsid w:val="001F01F4"/>
    <w:rsid w:val="001F0F78"/>
    <w:rsid w:val="001F1398"/>
    <w:rsid w:val="001F140E"/>
    <w:rsid w:val="001F1995"/>
    <w:rsid w:val="001F23B1"/>
    <w:rsid w:val="001F2797"/>
    <w:rsid w:val="001F2BED"/>
    <w:rsid w:val="001F2F54"/>
    <w:rsid w:val="001F42AC"/>
    <w:rsid w:val="001F462B"/>
    <w:rsid w:val="001F4910"/>
    <w:rsid w:val="001F5078"/>
    <w:rsid w:val="001F54C9"/>
    <w:rsid w:val="001F6819"/>
    <w:rsid w:val="001F68D5"/>
    <w:rsid w:val="001F73E9"/>
    <w:rsid w:val="00200577"/>
    <w:rsid w:val="00200620"/>
    <w:rsid w:val="002017EB"/>
    <w:rsid w:val="0020194E"/>
    <w:rsid w:val="00202314"/>
    <w:rsid w:val="0020273F"/>
    <w:rsid w:val="00203162"/>
    <w:rsid w:val="002036F0"/>
    <w:rsid w:val="00203A6D"/>
    <w:rsid w:val="00203E14"/>
    <w:rsid w:val="00203FDB"/>
    <w:rsid w:val="0020490D"/>
    <w:rsid w:val="002050A1"/>
    <w:rsid w:val="0020589F"/>
    <w:rsid w:val="00205C41"/>
    <w:rsid w:val="00205F88"/>
    <w:rsid w:val="0020666F"/>
    <w:rsid w:val="00206811"/>
    <w:rsid w:val="002075F0"/>
    <w:rsid w:val="00207631"/>
    <w:rsid w:val="00207DC7"/>
    <w:rsid w:val="00210130"/>
    <w:rsid w:val="00211432"/>
    <w:rsid w:val="002116D8"/>
    <w:rsid w:val="00211A84"/>
    <w:rsid w:val="0021234D"/>
    <w:rsid w:val="0021279F"/>
    <w:rsid w:val="00212B6E"/>
    <w:rsid w:val="00213137"/>
    <w:rsid w:val="00213916"/>
    <w:rsid w:val="00213A3C"/>
    <w:rsid w:val="00213C91"/>
    <w:rsid w:val="00214131"/>
    <w:rsid w:val="0021431B"/>
    <w:rsid w:val="00214953"/>
    <w:rsid w:val="00214DDE"/>
    <w:rsid w:val="00214EB7"/>
    <w:rsid w:val="00214F3E"/>
    <w:rsid w:val="00214F86"/>
    <w:rsid w:val="0021550A"/>
    <w:rsid w:val="002162A9"/>
    <w:rsid w:val="002178E9"/>
    <w:rsid w:val="00217ACC"/>
    <w:rsid w:val="00217B15"/>
    <w:rsid w:val="00220995"/>
    <w:rsid w:val="002215AB"/>
    <w:rsid w:val="00222BA9"/>
    <w:rsid w:val="00222CA9"/>
    <w:rsid w:val="00223589"/>
    <w:rsid w:val="00223789"/>
    <w:rsid w:val="00224321"/>
    <w:rsid w:val="00224794"/>
    <w:rsid w:val="00224B49"/>
    <w:rsid w:val="00225EB3"/>
    <w:rsid w:val="002273FD"/>
    <w:rsid w:val="002304BC"/>
    <w:rsid w:val="00230E4A"/>
    <w:rsid w:val="00231005"/>
    <w:rsid w:val="00231367"/>
    <w:rsid w:val="00231BB3"/>
    <w:rsid w:val="00231C01"/>
    <w:rsid w:val="00231E25"/>
    <w:rsid w:val="00232587"/>
    <w:rsid w:val="0023472C"/>
    <w:rsid w:val="002348AD"/>
    <w:rsid w:val="00235130"/>
    <w:rsid w:val="002355EA"/>
    <w:rsid w:val="00235763"/>
    <w:rsid w:val="00235936"/>
    <w:rsid w:val="00235B7D"/>
    <w:rsid w:val="00235F14"/>
    <w:rsid w:val="00235FF4"/>
    <w:rsid w:val="002367F8"/>
    <w:rsid w:val="00236812"/>
    <w:rsid w:val="00236B3A"/>
    <w:rsid w:val="0023712D"/>
    <w:rsid w:val="00237658"/>
    <w:rsid w:val="00237BE7"/>
    <w:rsid w:val="00237D5A"/>
    <w:rsid w:val="0024042B"/>
    <w:rsid w:val="0024118E"/>
    <w:rsid w:val="00241EA4"/>
    <w:rsid w:val="0024341C"/>
    <w:rsid w:val="002436A7"/>
    <w:rsid w:val="00243965"/>
    <w:rsid w:val="0024416D"/>
    <w:rsid w:val="002452AB"/>
    <w:rsid w:val="0024545F"/>
    <w:rsid w:val="002457B7"/>
    <w:rsid w:val="00246415"/>
    <w:rsid w:val="002467C1"/>
    <w:rsid w:val="002469E8"/>
    <w:rsid w:val="00251B32"/>
    <w:rsid w:val="00251E3E"/>
    <w:rsid w:val="0025214C"/>
    <w:rsid w:val="002523B8"/>
    <w:rsid w:val="0025273D"/>
    <w:rsid w:val="00252E9F"/>
    <w:rsid w:val="00253105"/>
    <w:rsid w:val="0025331B"/>
    <w:rsid w:val="00253B71"/>
    <w:rsid w:val="002544C1"/>
    <w:rsid w:val="00254669"/>
    <w:rsid w:val="0025468D"/>
    <w:rsid w:val="00257C19"/>
    <w:rsid w:val="00260662"/>
    <w:rsid w:val="0026075A"/>
    <w:rsid w:val="00260A97"/>
    <w:rsid w:val="00261356"/>
    <w:rsid w:val="002627F3"/>
    <w:rsid w:val="0026411C"/>
    <w:rsid w:val="0026440B"/>
    <w:rsid w:val="002644CF"/>
    <w:rsid w:val="00264757"/>
    <w:rsid w:val="00265B8C"/>
    <w:rsid w:val="0026630C"/>
    <w:rsid w:val="002666A3"/>
    <w:rsid w:val="002669D0"/>
    <w:rsid w:val="00266A59"/>
    <w:rsid w:val="002709E4"/>
    <w:rsid w:val="0027108C"/>
    <w:rsid w:val="002710A2"/>
    <w:rsid w:val="002715EB"/>
    <w:rsid w:val="002724F6"/>
    <w:rsid w:val="002726AD"/>
    <w:rsid w:val="002726C5"/>
    <w:rsid w:val="00273000"/>
    <w:rsid w:val="00274B05"/>
    <w:rsid w:val="00274DFA"/>
    <w:rsid w:val="002754E8"/>
    <w:rsid w:val="0027679D"/>
    <w:rsid w:val="00277018"/>
    <w:rsid w:val="002773E6"/>
    <w:rsid w:val="00277FB2"/>
    <w:rsid w:val="00281281"/>
    <w:rsid w:val="00281BFA"/>
    <w:rsid w:val="00281E44"/>
    <w:rsid w:val="00282E76"/>
    <w:rsid w:val="00282FA2"/>
    <w:rsid w:val="00283D6D"/>
    <w:rsid w:val="0028567D"/>
    <w:rsid w:val="002868F8"/>
    <w:rsid w:val="00287366"/>
    <w:rsid w:val="00287E9B"/>
    <w:rsid w:val="00287F3E"/>
    <w:rsid w:val="002900A5"/>
    <w:rsid w:val="00292332"/>
    <w:rsid w:val="00292EB3"/>
    <w:rsid w:val="002932CB"/>
    <w:rsid w:val="00293C00"/>
    <w:rsid w:val="00293C91"/>
    <w:rsid w:val="00294C17"/>
    <w:rsid w:val="00294FDE"/>
    <w:rsid w:val="00296599"/>
    <w:rsid w:val="002966A1"/>
    <w:rsid w:val="00296D8A"/>
    <w:rsid w:val="00296ED6"/>
    <w:rsid w:val="002973AC"/>
    <w:rsid w:val="002A092D"/>
    <w:rsid w:val="002A0DE4"/>
    <w:rsid w:val="002A0EC7"/>
    <w:rsid w:val="002A1633"/>
    <w:rsid w:val="002A191F"/>
    <w:rsid w:val="002A1D3A"/>
    <w:rsid w:val="002A21C4"/>
    <w:rsid w:val="002A2345"/>
    <w:rsid w:val="002A2AF2"/>
    <w:rsid w:val="002A3BA4"/>
    <w:rsid w:val="002A4D08"/>
    <w:rsid w:val="002A52C4"/>
    <w:rsid w:val="002A5AE7"/>
    <w:rsid w:val="002A6483"/>
    <w:rsid w:val="002A66DF"/>
    <w:rsid w:val="002A6D53"/>
    <w:rsid w:val="002A7A14"/>
    <w:rsid w:val="002A7C39"/>
    <w:rsid w:val="002B0B2D"/>
    <w:rsid w:val="002B1371"/>
    <w:rsid w:val="002B1D31"/>
    <w:rsid w:val="002B2D54"/>
    <w:rsid w:val="002B2E01"/>
    <w:rsid w:val="002B3A14"/>
    <w:rsid w:val="002B44D2"/>
    <w:rsid w:val="002B4EB4"/>
    <w:rsid w:val="002B5231"/>
    <w:rsid w:val="002B5562"/>
    <w:rsid w:val="002B5EAE"/>
    <w:rsid w:val="002B602A"/>
    <w:rsid w:val="002B67D4"/>
    <w:rsid w:val="002B6BA2"/>
    <w:rsid w:val="002B7536"/>
    <w:rsid w:val="002B79BC"/>
    <w:rsid w:val="002C052C"/>
    <w:rsid w:val="002C12FE"/>
    <w:rsid w:val="002C1925"/>
    <w:rsid w:val="002C1B99"/>
    <w:rsid w:val="002C272B"/>
    <w:rsid w:val="002C2C84"/>
    <w:rsid w:val="002C2FA1"/>
    <w:rsid w:val="002C32E6"/>
    <w:rsid w:val="002C34C2"/>
    <w:rsid w:val="002C52E3"/>
    <w:rsid w:val="002C5D6E"/>
    <w:rsid w:val="002C6207"/>
    <w:rsid w:val="002C6288"/>
    <w:rsid w:val="002C668E"/>
    <w:rsid w:val="002C7B3E"/>
    <w:rsid w:val="002D03E8"/>
    <w:rsid w:val="002D0729"/>
    <w:rsid w:val="002D0BD7"/>
    <w:rsid w:val="002D1118"/>
    <w:rsid w:val="002D1178"/>
    <w:rsid w:val="002D16FF"/>
    <w:rsid w:val="002D201D"/>
    <w:rsid w:val="002D229F"/>
    <w:rsid w:val="002D237B"/>
    <w:rsid w:val="002D23BC"/>
    <w:rsid w:val="002D24D0"/>
    <w:rsid w:val="002D3D31"/>
    <w:rsid w:val="002D5352"/>
    <w:rsid w:val="002D5D69"/>
    <w:rsid w:val="002D61A2"/>
    <w:rsid w:val="002D6566"/>
    <w:rsid w:val="002D6E58"/>
    <w:rsid w:val="002D7B92"/>
    <w:rsid w:val="002E097B"/>
    <w:rsid w:val="002E181E"/>
    <w:rsid w:val="002E1EA6"/>
    <w:rsid w:val="002E2239"/>
    <w:rsid w:val="002E27CC"/>
    <w:rsid w:val="002E3802"/>
    <w:rsid w:val="002E3BD1"/>
    <w:rsid w:val="002E402B"/>
    <w:rsid w:val="002E404D"/>
    <w:rsid w:val="002E466E"/>
    <w:rsid w:val="002E4E34"/>
    <w:rsid w:val="002E559B"/>
    <w:rsid w:val="002E5BDD"/>
    <w:rsid w:val="002E6639"/>
    <w:rsid w:val="002E6ED5"/>
    <w:rsid w:val="002E784F"/>
    <w:rsid w:val="002E797A"/>
    <w:rsid w:val="002E7B4E"/>
    <w:rsid w:val="002F0404"/>
    <w:rsid w:val="002F0810"/>
    <w:rsid w:val="002F0C71"/>
    <w:rsid w:val="002F2B40"/>
    <w:rsid w:val="002F4AD4"/>
    <w:rsid w:val="002F587F"/>
    <w:rsid w:val="002F664E"/>
    <w:rsid w:val="002F73FE"/>
    <w:rsid w:val="002F756A"/>
    <w:rsid w:val="002F78D1"/>
    <w:rsid w:val="003003A6"/>
    <w:rsid w:val="003003D7"/>
    <w:rsid w:val="00300EA5"/>
    <w:rsid w:val="00301B7D"/>
    <w:rsid w:val="00301DD5"/>
    <w:rsid w:val="003032A6"/>
    <w:rsid w:val="00304657"/>
    <w:rsid w:val="00304DDA"/>
    <w:rsid w:val="003053A6"/>
    <w:rsid w:val="00305D6A"/>
    <w:rsid w:val="00305E2C"/>
    <w:rsid w:val="0030680C"/>
    <w:rsid w:val="00306EC8"/>
    <w:rsid w:val="003072B3"/>
    <w:rsid w:val="003073D7"/>
    <w:rsid w:val="0030763D"/>
    <w:rsid w:val="00307CB6"/>
    <w:rsid w:val="00307E33"/>
    <w:rsid w:val="003106FB"/>
    <w:rsid w:val="00310D80"/>
    <w:rsid w:val="0031101B"/>
    <w:rsid w:val="00311786"/>
    <w:rsid w:val="003122F9"/>
    <w:rsid w:val="00312A9B"/>
    <w:rsid w:val="00312FD7"/>
    <w:rsid w:val="00313252"/>
    <w:rsid w:val="00313442"/>
    <w:rsid w:val="003136DC"/>
    <w:rsid w:val="00313A76"/>
    <w:rsid w:val="00313B5E"/>
    <w:rsid w:val="00313F04"/>
    <w:rsid w:val="00313F5F"/>
    <w:rsid w:val="00314305"/>
    <w:rsid w:val="00314AEA"/>
    <w:rsid w:val="003159F3"/>
    <w:rsid w:val="00315D4A"/>
    <w:rsid w:val="003161D1"/>
    <w:rsid w:val="00316F70"/>
    <w:rsid w:val="003176F0"/>
    <w:rsid w:val="003177CB"/>
    <w:rsid w:val="00317B09"/>
    <w:rsid w:val="0032058C"/>
    <w:rsid w:val="00320902"/>
    <w:rsid w:val="00321E61"/>
    <w:rsid w:val="003230D5"/>
    <w:rsid w:val="00323891"/>
    <w:rsid w:val="00324665"/>
    <w:rsid w:val="00324C7A"/>
    <w:rsid w:val="00324FD6"/>
    <w:rsid w:val="00327FF2"/>
    <w:rsid w:val="00330BCE"/>
    <w:rsid w:val="00332A54"/>
    <w:rsid w:val="00332F22"/>
    <w:rsid w:val="003337BF"/>
    <w:rsid w:val="00333BB0"/>
    <w:rsid w:val="00333BBC"/>
    <w:rsid w:val="00334B73"/>
    <w:rsid w:val="00334C67"/>
    <w:rsid w:val="00335FE9"/>
    <w:rsid w:val="00336085"/>
    <w:rsid w:val="00336766"/>
    <w:rsid w:val="00336A8C"/>
    <w:rsid w:val="00340358"/>
    <w:rsid w:val="00340636"/>
    <w:rsid w:val="00340B28"/>
    <w:rsid w:val="00341EE9"/>
    <w:rsid w:val="003429C0"/>
    <w:rsid w:val="0034323F"/>
    <w:rsid w:val="003432DC"/>
    <w:rsid w:val="00343852"/>
    <w:rsid w:val="00343ED2"/>
    <w:rsid w:val="0034436B"/>
    <w:rsid w:val="00344573"/>
    <w:rsid w:val="00344F3A"/>
    <w:rsid w:val="003453C1"/>
    <w:rsid w:val="00345A66"/>
    <w:rsid w:val="00345AA2"/>
    <w:rsid w:val="003461EA"/>
    <w:rsid w:val="00346360"/>
    <w:rsid w:val="00346C01"/>
    <w:rsid w:val="003479C1"/>
    <w:rsid w:val="00347A1B"/>
    <w:rsid w:val="00350240"/>
    <w:rsid w:val="0035147A"/>
    <w:rsid w:val="00352144"/>
    <w:rsid w:val="003524B3"/>
    <w:rsid w:val="00352B3B"/>
    <w:rsid w:val="0035327C"/>
    <w:rsid w:val="00353499"/>
    <w:rsid w:val="00353CB6"/>
    <w:rsid w:val="00353EE2"/>
    <w:rsid w:val="00353F88"/>
    <w:rsid w:val="00354692"/>
    <w:rsid w:val="00354CC2"/>
    <w:rsid w:val="00355384"/>
    <w:rsid w:val="00355574"/>
    <w:rsid w:val="003564BA"/>
    <w:rsid w:val="0035680E"/>
    <w:rsid w:val="00356AD3"/>
    <w:rsid w:val="00356FBA"/>
    <w:rsid w:val="0035722C"/>
    <w:rsid w:val="00357393"/>
    <w:rsid w:val="00357D22"/>
    <w:rsid w:val="00357DAD"/>
    <w:rsid w:val="00357F5E"/>
    <w:rsid w:val="00360A11"/>
    <w:rsid w:val="0036166E"/>
    <w:rsid w:val="00361F43"/>
    <w:rsid w:val="0036290C"/>
    <w:rsid w:val="00362A14"/>
    <w:rsid w:val="00363F31"/>
    <w:rsid w:val="00364084"/>
    <w:rsid w:val="0036441F"/>
    <w:rsid w:val="0036470C"/>
    <w:rsid w:val="00365F83"/>
    <w:rsid w:val="003664DC"/>
    <w:rsid w:val="00366C81"/>
    <w:rsid w:val="003670A5"/>
    <w:rsid w:val="003701F5"/>
    <w:rsid w:val="00370683"/>
    <w:rsid w:val="003708E4"/>
    <w:rsid w:val="00371DBE"/>
    <w:rsid w:val="003722E4"/>
    <w:rsid w:val="00372811"/>
    <w:rsid w:val="00372EC5"/>
    <w:rsid w:val="0037328B"/>
    <w:rsid w:val="0037331E"/>
    <w:rsid w:val="00373628"/>
    <w:rsid w:val="003737F8"/>
    <w:rsid w:val="003739AB"/>
    <w:rsid w:val="0037407C"/>
    <w:rsid w:val="0037517D"/>
    <w:rsid w:val="0037613F"/>
    <w:rsid w:val="00376749"/>
    <w:rsid w:val="0037741A"/>
    <w:rsid w:val="00377D82"/>
    <w:rsid w:val="00377F5D"/>
    <w:rsid w:val="00380127"/>
    <w:rsid w:val="003805F3"/>
    <w:rsid w:val="00380654"/>
    <w:rsid w:val="003810E9"/>
    <w:rsid w:val="003825D2"/>
    <w:rsid w:val="00382C6A"/>
    <w:rsid w:val="00383196"/>
    <w:rsid w:val="00383395"/>
    <w:rsid w:val="003833A0"/>
    <w:rsid w:val="003840CD"/>
    <w:rsid w:val="0038424D"/>
    <w:rsid w:val="003843E7"/>
    <w:rsid w:val="00386672"/>
    <w:rsid w:val="00386DED"/>
    <w:rsid w:val="003875E3"/>
    <w:rsid w:val="003877E3"/>
    <w:rsid w:val="0039063B"/>
    <w:rsid w:val="00391027"/>
    <w:rsid w:val="00392925"/>
    <w:rsid w:val="003929D3"/>
    <w:rsid w:val="00392BF8"/>
    <w:rsid w:val="00392CEB"/>
    <w:rsid w:val="003932CD"/>
    <w:rsid w:val="00393405"/>
    <w:rsid w:val="00393EE5"/>
    <w:rsid w:val="00394295"/>
    <w:rsid w:val="00394A4D"/>
    <w:rsid w:val="00394BED"/>
    <w:rsid w:val="00394C18"/>
    <w:rsid w:val="00394D42"/>
    <w:rsid w:val="003951B4"/>
    <w:rsid w:val="00395304"/>
    <w:rsid w:val="00395605"/>
    <w:rsid w:val="00395D04"/>
    <w:rsid w:val="00395E2D"/>
    <w:rsid w:val="003962CA"/>
    <w:rsid w:val="003966B0"/>
    <w:rsid w:val="0039761E"/>
    <w:rsid w:val="003A0255"/>
    <w:rsid w:val="003A0E8C"/>
    <w:rsid w:val="003A11A6"/>
    <w:rsid w:val="003A3BEF"/>
    <w:rsid w:val="003A5070"/>
    <w:rsid w:val="003A5224"/>
    <w:rsid w:val="003A5EAF"/>
    <w:rsid w:val="003A6DC8"/>
    <w:rsid w:val="003A74A7"/>
    <w:rsid w:val="003B02DF"/>
    <w:rsid w:val="003B0683"/>
    <w:rsid w:val="003B0D10"/>
    <w:rsid w:val="003B168E"/>
    <w:rsid w:val="003B19B4"/>
    <w:rsid w:val="003B21E4"/>
    <w:rsid w:val="003B2588"/>
    <w:rsid w:val="003B3906"/>
    <w:rsid w:val="003B43D0"/>
    <w:rsid w:val="003B4AEA"/>
    <w:rsid w:val="003B4B8C"/>
    <w:rsid w:val="003B4B93"/>
    <w:rsid w:val="003B5310"/>
    <w:rsid w:val="003B531F"/>
    <w:rsid w:val="003B5661"/>
    <w:rsid w:val="003B5995"/>
    <w:rsid w:val="003B59A0"/>
    <w:rsid w:val="003B5ACA"/>
    <w:rsid w:val="003B652D"/>
    <w:rsid w:val="003B668F"/>
    <w:rsid w:val="003B696A"/>
    <w:rsid w:val="003C083D"/>
    <w:rsid w:val="003C0D18"/>
    <w:rsid w:val="003C10BA"/>
    <w:rsid w:val="003C1E25"/>
    <w:rsid w:val="003C1FC2"/>
    <w:rsid w:val="003C2252"/>
    <w:rsid w:val="003C2511"/>
    <w:rsid w:val="003C2866"/>
    <w:rsid w:val="003C2C09"/>
    <w:rsid w:val="003C3BD0"/>
    <w:rsid w:val="003C403A"/>
    <w:rsid w:val="003C645C"/>
    <w:rsid w:val="003C65A0"/>
    <w:rsid w:val="003C6DD4"/>
    <w:rsid w:val="003D0C21"/>
    <w:rsid w:val="003D0FBE"/>
    <w:rsid w:val="003D15F5"/>
    <w:rsid w:val="003D1E0D"/>
    <w:rsid w:val="003D1E4D"/>
    <w:rsid w:val="003D24FC"/>
    <w:rsid w:val="003D34C9"/>
    <w:rsid w:val="003D3CDD"/>
    <w:rsid w:val="003D40ED"/>
    <w:rsid w:val="003D411A"/>
    <w:rsid w:val="003D4534"/>
    <w:rsid w:val="003D4D90"/>
    <w:rsid w:val="003D4DFF"/>
    <w:rsid w:val="003D4F11"/>
    <w:rsid w:val="003D511D"/>
    <w:rsid w:val="003D521F"/>
    <w:rsid w:val="003D5267"/>
    <w:rsid w:val="003D592A"/>
    <w:rsid w:val="003D5AD8"/>
    <w:rsid w:val="003D5C99"/>
    <w:rsid w:val="003D5DCF"/>
    <w:rsid w:val="003D608A"/>
    <w:rsid w:val="003D6741"/>
    <w:rsid w:val="003E0CF8"/>
    <w:rsid w:val="003E0D54"/>
    <w:rsid w:val="003E1534"/>
    <w:rsid w:val="003E21FC"/>
    <w:rsid w:val="003E2306"/>
    <w:rsid w:val="003E266A"/>
    <w:rsid w:val="003E2D47"/>
    <w:rsid w:val="003E302E"/>
    <w:rsid w:val="003E3295"/>
    <w:rsid w:val="003E3BFA"/>
    <w:rsid w:val="003E4176"/>
    <w:rsid w:val="003E41CD"/>
    <w:rsid w:val="003E42E4"/>
    <w:rsid w:val="003E52B2"/>
    <w:rsid w:val="003E57E4"/>
    <w:rsid w:val="003E608D"/>
    <w:rsid w:val="003E621C"/>
    <w:rsid w:val="003E67BB"/>
    <w:rsid w:val="003E72DC"/>
    <w:rsid w:val="003E7DBB"/>
    <w:rsid w:val="003F0002"/>
    <w:rsid w:val="003F0005"/>
    <w:rsid w:val="003F054A"/>
    <w:rsid w:val="003F077A"/>
    <w:rsid w:val="003F07A6"/>
    <w:rsid w:val="003F0F6A"/>
    <w:rsid w:val="003F142C"/>
    <w:rsid w:val="003F1898"/>
    <w:rsid w:val="003F2104"/>
    <w:rsid w:val="003F216E"/>
    <w:rsid w:val="003F217E"/>
    <w:rsid w:val="003F245C"/>
    <w:rsid w:val="003F3A7B"/>
    <w:rsid w:val="003F46CA"/>
    <w:rsid w:val="003F485E"/>
    <w:rsid w:val="003F511C"/>
    <w:rsid w:val="003F6795"/>
    <w:rsid w:val="003F6FB6"/>
    <w:rsid w:val="003F7389"/>
    <w:rsid w:val="00400465"/>
    <w:rsid w:val="00400E6C"/>
    <w:rsid w:val="0040250B"/>
    <w:rsid w:val="00403E96"/>
    <w:rsid w:val="00404CE0"/>
    <w:rsid w:val="00405074"/>
    <w:rsid w:val="00405935"/>
    <w:rsid w:val="0040619D"/>
    <w:rsid w:val="00406652"/>
    <w:rsid w:val="00406926"/>
    <w:rsid w:val="004070FD"/>
    <w:rsid w:val="004077E1"/>
    <w:rsid w:val="004078C0"/>
    <w:rsid w:val="0041013A"/>
    <w:rsid w:val="00410719"/>
    <w:rsid w:val="004113B5"/>
    <w:rsid w:val="00412F46"/>
    <w:rsid w:val="0041446F"/>
    <w:rsid w:val="00417C74"/>
    <w:rsid w:val="00417DA2"/>
    <w:rsid w:val="00417E8C"/>
    <w:rsid w:val="004209D5"/>
    <w:rsid w:val="004222E3"/>
    <w:rsid w:val="00422ADB"/>
    <w:rsid w:val="00422BD5"/>
    <w:rsid w:val="00423DFD"/>
    <w:rsid w:val="0042453D"/>
    <w:rsid w:val="00424D64"/>
    <w:rsid w:val="004256AE"/>
    <w:rsid w:val="00426298"/>
    <w:rsid w:val="0042650A"/>
    <w:rsid w:val="004265CD"/>
    <w:rsid w:val="00426B98"/>
    <w:rsid w:val="00426C82"/>
    <w:rsid w:val="00426CF4"/>
    <w:rsid w:val="004278C3"/>
    <w:rsid w:val="00427FF6"/>
    <w:rsid w:val="00430484"/>
    <w:rsid w:val="0043096E"/>
    <w:rsid w:val="00430B0B"/>
    <w:rsid w:val="00430F89"/>
    <w:rsid w:val="00431733"/>
    <w:rsid w:val="004332A9"/>
    <w:rsid w:val="00433C31"/>
    <w:rsid w:val="00433E44"/>
    <w:rsid w:val="004356BA"/>
    <w:rsid w:val="00435F64"/>
    <w:rsid w:val="00436129"/>
    <w:rsid w:val="00436154"/>
    <w:rsid w:val="00436476"/>
    <w:rsid w:val="004374DE"/>
    <w:rsid w:val="00437615"/>
    <w:rsid w:val="00437968"/>
    <w:rsid w:val="00437BC5"/>
    <w:rsid w:val="00437C4F"/>
    <w:rsid w:val="004401AC"/>
    <w:rsid w:val="00440D3F"/>
    <w:rsid w:val="00441189"/>
    <w:rsid w:val="00441264"/>
    <w:rsid w:val="004420BE"/>
    <w:rsid w:val="00445F55"/>
    <w:rsid w:val="00446169"/>
    <w:rsid w:val="004467E6"/>
    <w:rsid w:val="00446D6A"/>
    <w:rsid w:val="0044706B"/>
    <w:rsid w:val="00450101"/>
    <w:rsid w:val="004501F8"/>
    <w:rsid w:val="0045134F"/>
    <w:rsid w:val="0045212D"/>
    <w:rsid w:val="00452E59"/>
    <w:rsid w:val="004531BC"/>
    <w:rsid w:val="004533BE"/>
    <w:rsid w:val="004535D5"/>
    <w:rsid w:val="004541DA"/>
    <w:rsid w:val="00454412"/>
    <w:rsid w:val="00455608"/>
    <w:rsid w:val="00455BA8"/>
    <w:rsid w:val="00455E7B"/>
    <w:rsid w:val="00456092"/>
    <w:rsid w:val="0045641C"/>
    <w:rsid w:val="00456452"/>
    <w:rsid w:val="00456824"/>
    <w:rsid w:val="004568E8"/>
    <w:rsid w:val="00456BC3"/>
    <w:rsid w:val="00456D74"/>
    <w:rsid w:val="00457204"/>
    <w:rsid w:val="00457CE6"/>
    <w:rsid w:val="004603BC"/>
    <w:rsid w:val="00461090"/>
    <w:rsid w:val="00461DC4"/>
    <w:rsid w:val="00462051"/>
    <w:rsid w:val="0046476F"/>
    <w:rsid w:val="00464F92"/>
    <w:rsid w:val="0046772F"/>
    <w:rsid w:val="00467F82"/>
    <w:rsid w:val="0047008E"/>
    <w:rsid w:val="004706F4"/>
    <w:rsid w:val="00470BF4"/>
    <w:rsid w:val="00470C45"/>
    <w:rsid w:val="00472236"/>
    <w:rsid w:val="004722C6"/>
    <w:rsid w:val="00472D25"/>
    <w:rsid w:val="00472D37"/>
    <w:rsid w:val="004730CB"/>
    <w:rsid w:val="0047373D"/>
    <w:rsid w:val="004741A6"/>
    <w:rsid w:val="0047585E"/>
    <w:rsid w:val="00475C2C"/>
    <w:rsid w:val="00477389"/>
    <w:rsid w:val="00477425"/>
    <w:rsid w:val="00477489"/>
    <w:rsid w:val="00477505"/>
    <w:rsid w:val="004777E2"/>
    <w:rsid w:val="00480068"/>
    <w:rsid w:val="00480A82"/>
    <w:rsid w:val="00480D8D"/>
    <w:rsid w:val="004810FC"/>
    <w:rsid w:val="00481C4C"/>
    <w:rsid w:val="00481DA7"/>
    <w:rsid w:val="00481F83"/>
    <w:rsid w:val="004824DF"/>
    <w:rsid w:val="00483516"/>
    <w:rsid w:val="0048361B"/>
    <w:rsid w:val="004853C1"/>
    <w:rsid w:val="00485E9A"/>
    <w:rsid w:val="004863D2"/>
    <w:rsid w:val="00486414"/>
    <w:rsid w:val="004865BC"/>
    <w:rsid w:val="00486E84"/>
    <w:rsid w:val="00490451"/>
    <w:rsid w:val="0049054C"/>
    <w:rsid w:val="0049091F"/>
    <w:rsid w:val="00491511"/>
    <w:rsid w:val="00492070"/>
    <w:rsid w:val="00492842"/>
    <w:rsid w:val="00493809"/>
    <w:rsid w:val="00493F20"/>
    <w:rsid w:val="0049436E"/>
    <w:rsid w:val="004945D0"/>
    <w:rsid w:val="00494C4A"/>
    <w:rsid w:val="00494D5F"/>
    <w:rsid w:val="004960D4"/>
    <w:rsid w:val="00496508"/>
    <w:rsid w:val="00496741"/>
    <w:rsid w:val="004A0498"/>
    <w:rsid w:val="004A2661"/>
    <w:rsid w:val="004A36D9"/>
    <w:rsid w:val="004A40F4"/>
    <w:rsid w:val="004A4973"/>
    <w:rsid w:val="004A50AE"/>
    <w:rsid w:val="004A578A"/>
    <w:rsid w:val="004A607C"/>
    <w:rsid w:val="004A63AC"/>
    <w:rsid w:val="004A678F"/>
    <w:rsid w:val="004A7139"/>
    <w:rsid w:val="004A72BD"/>
    <w:rsid w:val="004A7854"/>
    <w:rsid w:val="004A79CE"/>
    <w:rsid w:val="004A79D1"/>
    <w:rsid w:val="004B0264"/>
    <w:rsid w:val="004B0664"/>
    <w:rsid w:val="004B0D9F"/>
    <w:rsid w:val="004B0E7E"/>
    <w:rsid w:val="004B33ED"/>
    <w:rsid w:val="004B3785"/>
    <w:rsid w:val="004B3FC6"/>
    <w:rsid w:val="004B5033"/>
    <w:rsid w:val="004B597B"/>
    <w:rsid w:val="004B5B97"/>
    <w:rsid w:val="004B5C8A"/>
    <w:rsid w:val="004B6E00"/>
    <w:rsid w:val="004B726F"/>
    <w:rsid w:val="004B7381"/>
    <w:rsid w:val="004B7EA0"/>
    <w:rsid w:val="004C0004"/>
    <w:rsid w:val="004C03E7"/>
    <w:rsid w:val="004C0A1A"/>
    <w:rsid w:val="004C12AA"/>
    <w:rsid w:val="004C20EA"/>
    <w:rsid w:val="004C25F1"/>
    <w:rsid w:val="004C264E"/>
    <w:rsid w:val="004C30E9"/>
    <w:rsid w:val="004C32F1"/>
    <w:rsid w:val="004C3640"/>
    <w:rsid w:val="004C37F0"/>
    <w:rsid w:val="004C4B14"/>
    <w:rsid w:val="004C4FEC"/>
    <w:rsid w:val="004C56A3"/>
    <w:rsid w:val="004C586D"/>
    <w:rsid w:val="004C5A88"/>
    <w:rsid w:val="004C5B60"/>
    <w:rsid w:val="004C6C11"/>
    <w:rsid w:val="004D04EF"/>
    <w:rsid w:val="004D0B31"/>
    <w:rsid w:val="004D0CCB"/>
    <w:rsid w:val="004D11D1"/>
    <w:rsid w:val="004D220F"/>
    <w:rsid w:val="004D2F15"/>
    <w:rsid w:val="004D3462"/>
    <w:rsid w:val="004D38BD"/>
    <w:rsid w:val="004D55C2"/>
    <w:rsid w:val="004D5E92"/>
    <w:rsid w:val="004D61E8"/>
    <w:rsid w:val="004D6C3A"/>
    <w:rsid w:val="004D6E68"/>
    <w:rsid w:val="004E0D2D"/>
    <w:rsid w:val="004E17D6"/>
    <w:rsid w:val="004E1DEC"/>
    <w:rsid w:val="004E231E"/>
    <w:rsid w:val="004E23C4"/>
    <w:rsid w:val="004E23FB"/>
    <w:rsid w:val="004E2ECF"/>
    <w:rsid w:val="004E4AAB"/>
    <w:rsid w:val="004E687E"/>
    <w:rsid w:val="004E68D7"/>
    <w:rsid w:val="004E6B9F"/>
    <w:rsid w:val="004E717F"/>
    <w:rsid w:val="004E7D33"/>
    <w:rsid w:val="004F0309"/>
    <w:rsid w:val="004F2667"/>
    <w:rsid w:val="004F271D"/>
    <w:rsid w:val="004F4829"/>
    <w:rsid w:val="004F5285"/>
    <w:rsid w:val="004F6D57"/>
    <w:rsid w:val="004F79FE"/>
    <w:rsid w:val="004F7CD3"/>
    <w:rsid w:val="00500975"/>
    <w:rsid w:val="005009C6"/>
    <w:rsid w:val="00500A68"/>
    <w:rsid w:val="00500B6B"/>
    <w:rsid w:val="00500D2E"/>
    <w:rsid w:val="00501086"/>
    <w:rsid w:val="005039F0"/>
    <w:rsid w:val="00503B3E"/>
    <w:rsid w:val="00503C45"/>
    <w:rsid w:val="005041D2"/>
    <w:rsid w:val="00504F25"/>
    <w:rsid w:val="0050510D"/>
    <w:rsid w:val="00505B1D"/>
    <w:rsid w:val="00506125"/>
    <w:rsid w:val="005063A6"/>
    <w:rsid w:val="0050703B"/>
    <w:rsid w:val="005072DD"/>
    <w:rsid w:val="00510341"/>
    <w:rsid w:val="005105E3"/>
    <w:rsid w:val="005105FE"/>
    <w:rsid w:val="00510616"/>
    <w:rsid w:val="00510666"/>
    <w:rsid w:val="005106AF"/>
    <w:rsid w:val="00511B8C"/>
    <w:rsid w:val="00512474"/>
    <w:rsid w:val="00512D1B"/>
    <w:rsid w:val="0051339E"/>
    <w:rsid w:val="00513F29"/>
    <w:rsid w:val="00515333"/>
    <w:rsid w:val="0051551F"/>
    <w:rsid w:val="00515D27"/>
    <w:rsid w:val="00516391"/>
    <w:rsid w:val="00516483"/>
    <w:rsid w:val="00516D3A"/>
    <w:rsid w:val="00517222"/>
    <w:rsid w:val="005209F4"/>
    <w:rsid w:val="00521905"/>
    <w:rsid w:val="00522895"/>
    <w:rsid w:val="00523640"/>
    <w:rsid w:val="0052589D"/>
    <w:rsid w:val="00526CDB"/>
    <w:rsid w:val="00526FC5"/>
    <w:rsid w:val="0052734C"/>
    <w:rsid w:val="005273EF"/>
    <w:rsid w:val="0053036C"/>
    <w:rsid w:val="0053076C"/>
    <w:rsid w:val="00530EDC"/>
    <w:rsid w:val="005343ED"/>
    <w:rsid w:val="00534E3B"/>
    <w:rsid w:val="00534FAB"/>
    <w:rsid w:val="0053658D"/>
    <w:rsid w:val="00536995"/>
    <w:rsid w:val="00536DD3"/>
    <w:rsid w:val="00536F16"/>
    <w:rsid w:val="005370F0"/>
    <w:rsid w:val="00537681"/>
    <w:rsid w:val="00537992"/>
    <w:rsid w:val="0054000B"/>
    <w:rsid w:val="00540080"/>
    <w:rsid w:val="005402A2"/>
    <w:rsid w:val="00540362"/>
    <w:rsid w:val="0054050F"/>
    <w:rsid w:val="005414E0"/>
    <w:rsid w:val="00541BCD"/>
    <w:rsid w:val="00541FE4"/>
    <w:rsid w:val="00542FD0"/>
    <w:rsid w:val="00543AD1"/>
    <w:rsid w:val="00545770"/>
    <w:rsid w:val="00546D80"/>
    <w:rsid w:val="005476C3"/>
    <w:rsid w:val="0055134D"/>
    <w:rsid w:val="00552BAE"/>
    <w:rsid w:val="005537EA"/>
    <w:rsid w:val="00553B08"/>
    <w:rsid w:val="00554801"/>
    <w:rsid w:val="00554EB0"/>
    <w:rsid w:val="00555812"/>
    <w:rsid w:val="005558D1"/>
    <w:rsid w:val="00555EEA"/>
    <w:rsid w:val="00555FF0"/>
    <w:rsid w:val="00556845"/>
    <w:rsid w:val="00556A2C"/>
    <w:rsid w:val="005575A8"/>
    <w:rsid w:val="00557809"/>
    <w:rsid w:val="00557BEA"/>
    <w:rsid w:val="005608FC"/>
    <w:rsid w:val="00560BCF"/>
    <w:rsid w:val="00560CB0"/>
    <w:rsid w:val="00561863"/>
    <w:rsid w:val="005620DC"/>
    <w:rsid w:val="0056232D"/>
    <w:rsid w:val="005639E1"/>
    <w:rsid w:val="00563E47"/>
    <w:rsid w:val="0056408E"/>
    <w:rsid w:val="0056466F"/>
    <w:rsid w:val="005647E1"/>
    <w:rsid w:val="00564B09"/>
    <w:rsid w:val="005651F2"/>
    <w:rsid w:val="00565FAE"/>
    <w:rsid w:val="005660E3"/>
    <w:rsid w:val="00566532"/>
    <w:rsid w:val="0056659C"/>
    <w:rsid w:val="005669E7"/>
    <w:rsid w:val="005672BB"/>
    <w:rsid w:val="005673CD"/>
    <w:rsid w:val="00570170"/>
    <w:rsid w:val="00570234"/>
    <w:rsid w:val="00570BB1"/>
    <w:rsid w:val="0057259B"/>
    <w:rsid w:val="00572FC4"/>
    <w:rsid w:val="005737B1"/>
    <w:rsid w:val="00574841"/>
    <w:rsid w:val="00574A65"/>
    <w:rsid w:val="00581FF0"/>
    <w:rsid w:val="00582A53"/>
    <w:rsid w:val="00582B71"/>
    <w:rsid w:val="00583F65"/>
    <w:rsid w:val="0058409D"/>
    <w:rsid w:val="00584D7D"/>
    <w:rsid w:val="00585F5D"/>
    <w:rsid w:val="005861D7"/>
    <w:rsid w:val="00586666"/>
    <w:rsid w:val="00586F5B"/>
    <w:rsid w:val="0059157C"/>
    <w:rsid w:val="00591729"/>
    <w:rsid w:val="00592349"/>
    <w:rsid w:val="00592DDC"/>
    <w:rsid w:val="00594047"/>
    <w:rsid w:val="00594E4E"/>
    <w:rsid w:val="00595001"/>
    <w:rsid w:val="005954D6"/>
    <w:rsid w:val="00596E4E"/>
    <w:rsid w:val="005973F2"/>
    <w:rsid w:val="0059796D"/>
    <w:rsid w:val="005A02FD"/>
    <w:rsid w:val="005A04BB"/>
    <w:rsid w:val="005A07FD"/>
    <w:rsid w:val="005A1CBA"/>
    <w:rsid w:val="005A1FF3"/>
    <w:rsid w:val="005A213E"/>
    <w:rsid w:val="005A229B"/>
    <w:rsid w:val="005A2940"/>
    <w:rsid w:val="005A396B"/>
    <w:rsid w:val="005A469E"/>
    <w:rsid w:val="005A47EF"/>
    <w:rsid w:val="005A4D93"/>
    <w:rsid w:val="005A4E98"/>
    <w:rsid w:val="005A5336"/>
    <w:rsid w:val="005A5487"/>
    <w:rsid w:val="005A57FF"/>
    <w:rsid w:val="005A61B9"/>
    <w:rsid w:val="005A677C"/>
    <w:rsid w:val="005A6916"/>
    <w:rsid w:val="005A6F55"/>
    <w:rsid w:val="005A705C"/>
    <w:rsid w:val="005A7253"/>
    <w:rsid w:val="005A77AD"/>
    <w:rsid w:val="005A7980"/>
    <w:rsid w:val="005A79BC"/>
    <w:rsid w:val="005B0197"/>
    <w:rsid w:val="005B0A5F"/>
    <w:rsid w:val="005B0F36"/>
    <w:rsid w:val="005B106A"/>
    <w:rsid w:val="005B16F2"/>
    <w:rsid w:val="005B2481"/>
    <w:rsid w:val="005B2561"/>
    <w:rsid w:val="005B2D2F"/>
    <w:rsid w:val="005B3528"/>
    <w:rsid w:val="005B3767"/>
    <w:rsid w:val="005B4E28"/>
    <w:rsid w:val="005B4F1C"/>
    <w:rsid w:val="005B4F70"/>
    <w:rsid w:val="005B53C0"/>
    <w:rsid w:val="005B6506"/>
    <w:rsid w:val="005B6654"/>
    <w:rsid w:val="005B6CF8"/>
    <w:rsid w:val="005B6EE9"/>
    <w:rsid w:val="005B7615"/>
    <w:rsid w:val="005B77B5"/>
    <w:rsid w:val="005C0007"/>
    <w:rsid w:val="005C0562"/>
    <w:rsid w:val="005C061B"/>
    <w:rsid w:val="005C13B8"/>
    <w:rsid w:val="005C1D32"/>
    <w:rsid w:val="005C21A9"/>
    <w:rsid w:val="005C29B0"/>
    <w:rsid w:val="005C3057"/>
    <w:rsid w:val="005C374F"/>
    <w:rsid w:val="005C43E6"/>
    <w:rsid w:val="005C46A2"/>
    <w:rsid w:val="005C4ECB"/>
    <w:rsid w:val="005C56A9"/>
    <w:rsid w:val="005C63EB"/>
    <w:rsid w:val="005C71EA"/>
    <w:rsid w:val="005C7430"/>
    <w:rsid w:val="005C74E2"/>
    <w:rsid w:val="005C7853"/>
    <w:rsid w:val="005C7F76"/>
    <w:rsid w:val="005D0526"/>
    <w:rsid w:val="005D0EA0"/>
    <w:rsid w:val="005D1147"/>
    <w:rsid w:val="005D13F2"/>
    <w:rsid w:val="005D21B7"/>
    <w:rsid w:val="005D248C"/>
    <w:rsid w:val="005D2A94"/>
    <w:rsid w:val="005D36D3"/>
    <w:rsid w:val="005D3A6E"/>
    <w:rsid w:val="005D426E"/>
    <w:rsid w:val="005D46C3"/>
    <w:rsid w:val="005D4F24"/>
    <w:rsid w:val="005D5244"/>
    <w:rsid w:val="005D6B01"/>
    <w:rsid w:val="005D7C5F"/>
    <w:rsid w:val="005D7DFD"/>
    <w:rsid w:val="005E026F"/>
    <w:rsid w:val="005E03EE"/>
    <w:rsid w:val="005E068C"/>
    <w:rsid w:val="005E0AFF"/>
    <w:rsid w:val="005E0B68"/>
    <w:rsid w:val="005E0CC6"/>
    <w:rsid w:val="005E2CFE"/>
    <w:rsid w:val="005E2DE1"/>
    <w:rsid w:val="005E3EB6"/>
    <w:rsid w:val="005E4330"/>
    <w:rsid w:val="005E4C1C"/>
    <w:rsid w:val="005E53A0"/>
    <w:rsid w:val="005E5800"/>
    <w:rsid w:val="005E6D86"/>
    <w:rsid w:val="005E71D8"/>
    <w:rsid w:val="005E726A"/>
    <w:rsid w:val="005E77C9"/>
    <w:rsid w:val="005E79AF"/>
    <w:rsid w:val="005E7CBC"/>
    <w:rsid w:val="005E7DF2"/>
    <w:rsid w:val="005F1821"/>
    <w:rsid w:val="005F18D7"/>
    <w:rsid w:val="005F1A35"/>
    <w:rsid w:val="005F1C40"/>
    <w:rsid w:val="005F1CCD"/>
    <w:rsid w:val="005F2727"/>
    <w:rsid w:val="005F2945"/>
    <w:rsid w:val="005F3F65"/>
    <w:rsid w:val="005F4587"/>
    <w:rsid w:val="005F4778"/>
    <w:rsid w:val="005F4E44"/>
    <w:rsid w:val="005F5AB2"/>
    <w:rsid w:val="005F5B6B"/>
    <w:rsid w:val="005F5DBA"/>
    <w:rsid w:val="005F5F50"/>
    <w:rsid w:val="005F61F4"/>
    <w:rsid w:val="005F76CB"/>
    <w:rsid w:val="005F7F74"/>
    <w:rsid w:val="0060002F"/>
    <w:rsid w:val="006008A7"/>
    <w:rsid w:val="00601DB0"/>
    <w:rsid w:val="00601E2B"/>
    <w:rsid w:val="00601F02"/>
    <w:rsid w:val="00601F3B"/>
    <w:rsid w:val="00601F54"/>
    <w:rsid w:val="00602143"/>
    <w:rsid w:val="00602252"/>
    <w:rsid w:val="00602C84"/>
    <w:rsid w:val="006044BF"/>
    <w:rsid w:val="00605330"/>
    <w:rsid w:val="0060548B"/>
    <w:rsid w:val="006059F2"/>
    <w:rsid w:val="006060B5"/>
    <w:rsid w:val="006066EB"/>
    <w:rsid w:val="006078F8"/>
    <w:rsid w:val="00610EB1"/>
    <w:rsid w:val="0061163D"/>
    <w:rsid w:val="006125E3"/>
    <w:rsid w:val="00612660"/>
    <w:rsid w:val="0061309B"/>
    <w:rsid w:val="006130D6"/>
    <w:rsid w:val="00613556"/>
    <w:rsid w:val="0061391A"/>
    <w:rsid w:val="00613DA5"/>
    <w:rsid w:val="00614425"/>
    <w:rsid w:val="006146C4"/>
    <w:rsid w:val="00614987"/>
    <w:rsid w:val="00614E3C"/>
    <w:rsid w:val="00615231"/>
    <w:rsid w:val="00615CDA"/>
    <w:rsid w:val="00616125"/>
    <w:rsid w:val="00616A12"/>
    <w:rsid w:val="00616BE2"/>
    <w:rsid w:val="00616C7E"/>
    <w:rsid w:val="00616FB8"/>
    <w:rsid w:val="006175A4"/>
    <w:rsid w:val="006177C2"/>
    <w:rsid w:val="00617AD1"/>
    <w:rsid w:val="00617EEA"/>
    <w:rsid w:val="00617FC5"/>
    <w:rsid w:val="00617FF7"/>
    <w:rsid w:val="006211CB"/>
    <w:rsid w:val="0062124A"/>
    <w:rsid w:val="006219E5"/>
    <w:rsid w:val="00622112"/>
    <w:rsid w:val="00622984"/>
    <w:rsid w:val="00622A28"/>
    <w:rsid w:val="00622E54"/>
    <w:rsid w:val="00623285"/>
    <w:rsid w:val="0062456B"/>
    <w:rsid w:val="006251B9"/>
    <w:rsid w:val="006255BB"/>
    <w:rsid w:val="00625700"/>
    <w:rsid w:val="00625F23"/>
    <w:rsid w:val="006270DD"/>
    <w:rsid w:val="00630281"/>
    <w:rsid w:val="00630854"/>
    <w:rsid w:val="00631276"/>
    <w:rsid w:val="00631A05"/>
    <w:rsid w:val="00632B2F"/>
    <w:rsid w:val="00632F08"/>
    <w:rsid w:val="00633534"/>
    <w:rsid w:val="0063361E"/>
    <w:rsid w:val="006338E6"/>
    <w:rsid w:val="00633A48"/>
    <w:rsid w:val="00633BD3"/>
    <w:rsid w:val="00633F03"/>
    <w:rsid w:val="006361C9"/>
    <w:rsid w:val="00636333"/>
    <w:rsid w:val="0063765F"/>
    <w:rsid w:val="00637FEE"/>
    <w:rsid w:val="00640214"/>
    <w:rsid w:val="00640267"/>
    <w:rsid w:val="00640D7A"/>
    <w:rsid w:val="006411B9"/>
    <w:rsid w:val="00641378"/>
    <w:rsid w:val="006414E0"/>
    <w:rsid w:val="00641CDC"/>
    <w:rsid w:val="006426A6"/>
    <w:rsid w:val="00642ADD"/>
    <w:rsid w:val="00642E6C"/>
    <w:rsid w:val="00643079"/>
    <w:rsid w:val="00644613"/>
    <w:rsid w:val="006446B7"/>
    <w:rsid w:val="00644871"/>
    <w:rsid w:val="00646298"/>
    <w:rsid w:val="00646983"/>
    <w:rsid w:val="006475F4"/>
    <w:rsid w:val="0064785A"/>
    <w:rsid w:val="006502F6"/>
    <w:rsid w:val="00650A92"/>
    <w:rsid w:val="00650D70"/>
    <w:rsid w:val="006514C8"/>
    <w:rsid w:val="006527B7"/>
    <w:rsid w:val="006528C7"/>
    <w:rsid w:val="00653334"/>
    <w:rsid w:val="0065398C"/>
    <w:rsid w:val="006549DB"/>
    <w:rsid w:val="006565F5"/>
    <w:rsid w:val="00656D55"/>
    <w:rsid w:val="00656D8B"/>
    <w:rsid w:val="0065779E"/>
    <w:rsid w:val="006610CD"/>
    <w:rsid w:val="006611B4"/>
    <w:rsid w:val="0066127D"/>
    <w:rsid w:val="006619E8"/>
    <w:rsid w:val="0066246F"/>
    <w:rsid w:val="0066276C"/>
    <w:rsid w:val="00662FFE"/>
    <w:rsid w:val="0066577D"/>
    <w:rsid w:val="00666C20"/>
    <w:rsid w:val="006704DE"/>
    <w:rsid w:val="00671422"/>
    <w:rsid w:val="00671D40"/>
    <w:rsid w:val="00671DDC"/>
    <w:rsid w:val="00672105"/>
    <w:rsid w:val="0067359C"/>
    <w:rsid w:val="00674B11"/>
    <w:rsid w:val="00676A0F"/>
    <w:rsid w:val="00677286"/>
    <w:rsid w:val="00681A2B"/>
    <w:rsid w:val="0068242F"/>
    <w:rsid w:val="006847A6"/>
    <w:rsid w:val="0068487B"/>
    <w:rsid w:val="00684E05"/>
    <w:rsid w:val="00684EDC"/>
    <w:rsid w:val="0068557C"/>
    <w:rsid w:val="0068586A"/>
    <w:rsid w:val="006909F2"/>
    <w:rsid w:val="0069160F"/>
    <w:rsid w:val="00691675"/>
    <w:rsid w:val="0069244D"/>
    <w:rsid w:val="00692A49"/>
    <w:rsid w:val="00692B69"/>
    <w:rsid w:val="006937EA"/>
    <w:rsid w:val="00693A92"/>
    <w:rsid w:val="00693FF4"/>
    <w:rsid w:val="00694D57"/>
    <w:rsid w:val="00695626"/>
    <w:rsid w:val="00695981"/>
    <w:rsid w:val="0069633A"/>
    <w:rsid w:val="0069674F"/>
    <w:rsid w:val="006976B3"/>
    <w:rsid w:val="00697B2A"/>
    <w:rsid w:val="006A0978"/>
    <w:rsid w:val="006A0B83"/>
    <w:rsid w:val="006A1ACA"/>
    <w:rsid w:val="006A24D0"/>
    <w:rsid w:val="006A2F38"/>
    <w:rsid w:val="006A3330"/>
    <w:rsid w:val="006A426B"/>
    <w:rsid w:val="006A5A63"/>
    <w:rsid w:val="006A5E71"/>
    <w:rsid w:val="006A60EC"/>
    <w:rsid w:val="006A72C7"/>
    <w:rsid w:val="006A73B2"/>
    <w:rsid w:val="006A7C31"/>
    <w:rsid w:val="006A7E76"/>
    <w:rsid w:val="006B082A"/>
    <w:rsid w:val="006B0B7D"/>
    <w:rsid w:val="006B0B91"/>
    <w:rsid w:val="006B19D3"/>
    <w:rsid w:val="006B2A19"/>
    <w:rsid w:val="006B2A6D"/>
    <w:rsid w:val="006B3188"/>
    <w:rsid w:val="006B3F12"/>
    <w:rsid w:val="006B4473"/>
    <w:rsid w:val="006B4A4B"/>
    <w:rsid w:val="006B4D2D"/>
    <w:rsid w:val="006B523D"/>
    <w:rsid w:val="006B5CBB"/>
    <w:rsid w:val="006B5ECA"/>
    <w:rsid w:val="006B637C"/>
    <w:rsid w:val="006B67DF"/>
    <w:rsid w:val="006B6A25"/>
    <w:rsid w:val="006B6A48"/>
    <w:rsid w:val="006B7A80"/>
    <w:rsid w:val="006C0683"/>
    <w:rsid w:val="006C21B8"/>
    <w:rsid w:val="006C22B8"/>
    <w:rsid w:val="006C238A"/>
    <w:rsid w:val="006C2DF2"/>
    <w:rsid w:val="006C49B1"/>
    <w:rsid w:val="006C4F0A"/>
    <w:rsid w:val="006C5EAA"/>
    <w:rsid w:val="006C6F9B"/>
    <w:rsid w:val="006C7FEA"/>
    <w:rsid w:val="006D1128"/>
    <w:rsid w:val="006D15F8"/>
    <w:rsid w:val="006D15F9"/>
    <w:rsid w:val="006D22F5"/>
    <w:rsid w:val="006D2B55"/>
    <w:rsid w:val="006D2FEC"/>
    <w:rsid w:val="006D3BEF"/>
    <w:rsid w:val="006D3D59"/>
    <w:rsid w:val="006D3E0A"/>
    <w:rsid w:val="006D3F41"/>
    <w:rsid w:val="006D52E0"/>
    <w:rsid w:val="006D53A4"/>
    <w:rsid w:val="006D592F"/>
    <w:rsid w:val="006D6477"/>
    <w:rsid w:val="006D6F6C"/>
    <w:rsid w:val="006D7ACE"/>
    <w:rsid w:val="006E1634"/>
    <w:rsid w:val="006E2A66"/>
    <w:rsid w:val="006E2B33"/>
    <w:rsid w:val="006E3326"/>
    <w:rsid w:val="006E34BC"/>
    <w:rsid w:val="006E4E2F"/>
    <w:rsid w:val="006E535E"/>
    <w:rsid w:val="006E68AB"/>
    <w:rsid w:val="006E6D56"/>
    <w:rsid w:val="006E6E9D"/>
    <w:rsid w:val="006E720F"/>
    <w:rsid w:val="006F0B14"/>
    <w:rsid w:val="006F17B1"/>
    <w:rsid w:val="006F189F"/>
    <w:rsid w:val="006F19A5"/>
    <w:rsid w:val="006F1EFB"/>
    <w:rsid w:val="006F2398"/>
    <w:rsid w:val="006F29E5"/>
    <w:rsid w:val="006F2C61"/>
    <w:rsid w:val="006F43C3"/>
    <w:rsid w:val="006F4C0C"/>
    <w:rsid w:val="006F51B2"/>
    <w:rsid w:val="006F70D6"/>
    <w:rsid w:val="00700008"/>
    <w:rsid w:val="00700383"/>
    <w:rsid w:val="007003A1"/>
    <w:rsid w:val="007004E9"/>
    <w:rsid w:val="0070148D"/>
    <w:rsid w:val="00702D58"/>
    <w:rsid w:val="00703C2A"/>
    <w:rsid w:val="00703D32"/>
    <w:rsid w:val="00703FA7"/>
    <w:rsid w:val="0070480E"/>
    <w:rsid w:val="00704EE1"/>
    <w:rsid w:val="00704FB4"/>
    <w:rsid w:val="00705637"/>
    <w:rsid w:val="00705DAA"/>
    <w:rsid w:val="00705FC0"/>
    <w:rsid w:val="00706278"/>
    <w:rsid w:val="007064BC"/>
    <w:rsid w:val="00710856"/>
    <w:rsid w:val="007119F3"/>
    <w:rsid w:val="0071287F"/>
    <w:rsid w:val="00714481"/>
    <w:rsid w:val="007144A6"/>
    <w:rsid w:val="00714AA7"/>
    <w:rsid w:val="00716D03"/>
    <w:rsid w:val="00720C07"/>
    <w:rsid w:val="00721028"/>
    <w:rsid w:val="0072132B"/>
    <w:rsid w:val="00721B6E"/>
    <w:rsid w:val="0072204F"/>
    <w:rsid w:val="00722406"/>
    <w:rsid w:val="0072251A"/>
    <w:rsid w:val="0072283C"/>
    <w:rsid w:val="00722A66"/>
    <w:rsid w:val="00723DC5"/>
    <w:rsid w:val="007249CE"/>
    <w:rsid w:val="007261B8"/>
    <w:rsid w:val="00726648"/>
    <w:rsid w:val="007267CD"/>
    <w:rsid w:val="0072732A"/>
    <w:rsid w:val="00727382"/>
    <w:rsid w:val="00730908"/>
    <w:rsid w:val="00730A9D"/>
    <w:rsid w:val="00731190"/>
    <w:rsid w:val="00731325"/>
    <w:rsid w:val="0073152B"/>
    <w:rsid w:val="00731811"/>
    <w:rsid w:val="007321F9"/>
    <w:rsid w:val="00732818"/>
    <w:rsid w:val="00732901"/>
    <w:rsid w:val="007333A9"/>
    <w:rsid w:val="00735370"/>
    <w:rsid w:val="00735420"/>
    <w:rsid w:val="00735889"/>
    <w:rsid w:val="00735B4D"/>
    <w:rsid w:val="00735DCC"/>
    <w:rsid w:val="00736117"/>
    <w:rsid w:val="00736A5B"/>
    <w:rsid w:val="00737283"/>
    <w:rsid w:val="007374BB"/>
    <w:rsid w:val="00737FC8"/>
    <w:rsid w:val="00740303"/>
    <w:rsid w:val="00740560"/>
    <w:rsid w:val="00740972"/>
    <w:rsid w:val="00741755"/>
    <w:rsid w:val="00741DA8"/>
    <w:rsid w:val="007421C6"/>
    <w:rsid w:val="00743485"/>
    <w:rsid w:val="00743CAD"/>
    <w:rsid w:val="00745341"/>
    <w:rsid w:val="007465B7"/>
    <w:rsid w:val="00746991"/>
    <w:rsid w:val="00746A26"/>
    <w:rsid w:val="00746FC2"/>
    <w:rsid w:val="0074729D"/>
    <w:rsid w:val="00747FD0"/>
    <w:rsid w:val="007500DF"/>
    <w:rsid w:val="0075038D"/>
    <w:rsid w:val="00752A69"/>
    <w:rsid w:val="007531FE"/>
    <w:rsid w:val="0075326E"/>
    <w:rsid w:val="00753428"/>
    <w:rsid w:val="0075365C"/>
    <w:rsid w:val="00753FD7"/>
    <w:rsid w:val="00754F0B"/>
    <w:rsid w:val="00755700"/>
    <w:rsid w:val="00755A2C"/>
    <w:rsid w:val="0075607E"/>
    <w:rsid w:val="00756355"/>
    <w:rsid w:val="00756821"/>
    <w:rsid w:val="0075701A"/>
    <w:rsid w:val="00757095"/>
    <w:rsid w:val="0075759E"/>
    <w:rsid w:val="00757CE7"/>
    <w:rsid w:val="00760B7B"/>
    <w:rsid w:val="007613A7"/>
    <w:rsid w:val="007613BE"/>
    <w:rsid w:val="00761410"/>
    <w:rsid w:val="00761D5B"/>
    <w:rsid w:val="007623BD"/>
    <w:rsid w:val="007629A1"/>
    <w:rsid w:val="0076309D"/>
    <w:rsid w:val="007632C2"/>
    <w:rsid w:val="00763BC3"/>
    <w:rsid w:val="007651DD"/>
    <w:rsid w:val="00765A3A"/>
    <w:rsid w:val="007664BB"/>
    <w:rsid w:val="007674D4"/>
    <w:rsid w:val="00767AB2"/>
    <w:rsid w:val="00770027"/>
    <w:rsid w:val="007705A5"/>
    <w:rsid w:val="00770AA9"/>
    <w:rsid w:val="00770ADE"/>
    <w:rsid w:val="00771B8D"/>
    <w:rsid w:val="00771D21"/>
    <w:rsid w:val="0077203C"/>
    <w:rsid w:val="0077268B"/>
    <w:rsid w:val="00772E12"/>
    <w:rsid w:val="00772F82"/>
    <w:rsid w:val="00774C1B"/>
    <w:rsid w:val="0077586A"/>
    <w:rsid w:val="00775DD6"/>
    <w:rsid w:val="007762E6"/>
    <w:rsid w:val="00776B6B"/>
    <w:rsid w:val="00776C09"/>
    <w:rsid w:val="00777AB9"/>
    <w:rsid w:val="00777CE8"/>
    <w:rsid w:val="0078021A"/>
    <w:rsid w:val="00780431"/>
    <w:rsid w:val="007822A5"/>
    <w:rsid w:val="00782C0B"/>
    <w:rsid w:val="0078374B"/>
    <w:rsid w:val="00784360"/>
    <w:rsid w:val="00784A27"/>
    <w:rsid w:val="00785547"/>
    <w:rsid w:val="0078628D"/>
    <w:rsid w:val="00786F3E"/>
    <w:rsid w:val="00787574"/>
    <w:rsid w:val="0078798D"/>
    <w:rsid w:val="00790114"/>
    <w:rsid w:val="00790FA7"/>
    <w:rsid w:val="007913ED"/>
    <w:rsid w:val="007917AF"/>
    <w:rsid w:val="00792656"/>
    <w:rsid w:val="00792AFD"/>
    <w:rsid w:val="00792FE0"/>
    <w:rsid w:val="00793836"/>
    <w:rsid w:val="00794437"/>
    <w:rsid w:val="00794C17"/>
    <w:rsid w:val="00794FEC"/>
    <w:rsid w:val="00795278"/>
    <w:rsid w:val="00795DB2"/>
    <w:rsid w:val="007961F7"/>
    <w:rsid w:val="00796349"/>
    <w:rsid w:val="007964D1"/>
    <w:rsid w:val="00797807"/>
    <w:rsid w:val="007A035F"/>
    <w:rsid w:val="007A03BF"/>
    <w:rsid w:val="007A0DE2"/>
    <w:rsid w:val="007A1281"/>
    <w:rsid w:val="007A3465"/>
    <w:rsid w:val="007A34A3"/>
    <w:rsid w:val="007A34C1"/>
    <w:rsid w:val="007A37F0"/>
    <w:rsid w:val="007A3FA4"/>
    <w:rsid w:val="007A40A2"/>
    <w:rsid w:val="007A6062"/>
    <w:rsid w:val="007A65E0"/>
    <w:rsid w:val="007A6659"/>
    <w:rsid w:val="007A6A85"/>
    <w:rsid w:val="007A6E05"/>
    <w:rsid w:val="007A718F"/>
    <w:rsid w:val="007A759F"/>
    <w:rsid w:val="007A7E1B"/>
    <w:rsid w:val="007B017B"/>
    <w:rsid w:val="007B0198"/>
    <w:rsid w:val="007B0941"/>
    <w:rsid w:val="007B0C81"/>
    <w:rsid w:val="007B1BBC"/>
    <w:rsid w:val="007B1FBA"/>
    <w:rsid w:val="007B2319"/>
    <w:rsid w:val="007B2968"/>
    <w:rsid w:val="007B2A50"/>
    <w:rsid w:val="007B2CB9"/>
    <w:rsid w:val="007B2FF2"/>
    <w:rsid w:val="007B4EBD"/>
    <w:rsid w:val="007B67D7"/>
    <w:rsid w:val="007B696A"/>
    <w:rsid w:val="007B76E1"/>
    <w:rsid w:val="007B7722"/>
    <w:rsid w:val="007B77D7"/>
    <w:rsid w:val="007B79F6"/>
    <w:rsid w:val="007C00C0"/>
    <w:rsid w:val="007C06E1"/>
    <w:rsid w:val="007C1B0A"/>
    <w:rsid w:val="007C2476"/>
    <w:rsid w:val="007C3460"/>
    <w:rsid w:val="007C38A2"/>
    <w:rsid w:val="007C3F25"/>
    <w:rsid w:val="007C4479"/>
    <w:rsid w:val="007C480B"/>
    <w:rsid w:val="007C4FA8"/>
    <w:rsid w:val="007C5291"/>
    <w:rsid w:val="007C54A3"/>
    <w:rsid w:val="007C5C2E"/>
    <w:rsid w:val="007C646B"/>
    <w:rsid w:val="007C7A9A"/>
    <w:rsid w:val="007C7FC2"/>
    <w:rsid w:val="007D094A"/>
    <w:rsid w:val="007D14A9"/>
    <w:rsid w:val="007D19E1"/>
    <w:rsid w:val="007D214D"/>
    <w:rsid w:val="007D3236"/>
    <w:rsid w:val="007D3425"/>
    <w:rsid w:val="007D36C0"/>
    <w:rsid w:val="007D4330"/>
    <w:rsid w:val="007D4BB0"/>
    <w:rsid w:val="007D4BFB"/>
    <w:rsid w:val="007D5042"/>
    <w:rsid w:val="007D51AF"/>
    <w:rsid w:val="007D59C9"/>
    <w:rsid w:val="007D639C"/>
    <w:rsid w:val="007D6898"/>
    <w:rsid w:val="007D70CE"/>
    <w:rsid w:val="007D7A7D"/>
    <w:rsid w:val="007E04E9"/>
    <w:rsid w:val="007E10F9"/>
    <w:rsid w:val="007E1ECB"/>
    <w:rsid w:val="007E324A"/>
    <w:rsid w:val="007E33FF"/>
    <w:rsid w:val="007E36AE"/>
    <w:rsid w:val="007E4B01"/>
    <w:rsid w:val="007E4CC6"/>
    <w:rsid w:val="007E5880"/>
    <w:rsid w:val="007E5BFC"/>
    <w:rsid w:val="007E65C4"/>
    <w:rsid w:val="007E7293"/>
    <w:rsid w:val="007E7B99"/>
    <w:rsid w:val="007F0488"/>
    <w:rsid w:val="007F068C"/>
    <w:rsid w:val="007F0FD1"/>
    <w:rsid w:val="007F11BD"/>
    <w:rsid w:val="007F14A2"/>
    <w:rsid w:val="007F29D1"/>
    <w:rsid w:val="007F2C6E"/>
    <w:rsid w:val="007F34C6"/>
    <w:rsid w:val="007F381B"/>
    <w:rsid w:val="007F3B35"/>
    <w:rsid w:val="007F45D3"/>
    <w:rsid w:val="007F47EC"/>
    <w:rsid w:val="007F4CA7"/>
    <w:rsid w:val="007F52F1"/>
    <w:rsid w:val="007F57CA"/>
    <w:rsid w:val="007F5AFC"/>
    <w:rsid w:val="007F5FFA"/>
    <w:rsid w:val="007F79A6"/>
    <w:rsid w:val="00800BC8"/>
    <w:rsid w:val="00800BF0"/>
    <w:rsid w:val="0080123C"/>
    <w:rsid w:val="0080128E"/>
    <w:rsid w:val="00801497"/>
    <w:rsid w:val="0080179E"/>
    <w:rsid w:val="00802729"/>
    <w:rsid w:val="00802B0E"/>
    <w:rsid w:val="00802C02"/>
    <w:rsid w:val="00803206"/>
    <w:rsid w:val="0080323B"/>
    <w:rsid w:val="008034BA"/>
    <w:rsid w:val="0080358D"/>
    <w:rsid w:val="0080568B"/>
    <w:rsid w:val="00806A3B"/>
    <w:rsid w:val="00806D0D"/>
    <w:rsid w:val="00806F02"/>
    <w:rsid w:val="00807A3B"/>
    <w:rsid w:val="00811016"/>
    <w:rsid w:val="00811047"/>
    <w:rsid w:val="008110DD"/>
    <w:rsid w:val="008126BE"/>
    <w:rsid w:val="00812B7B"/>
    <w:rsid w:val="0081395B"/>
    <w:rsid w:val="00813A78"/>
    <w:rsid w:val="00814367"/>
    <w:rsid w:val="008143E1"/>
    <w:rsid w:val="00814D8D"/>
    <w:rsid w:val="00815161"/>
    <w:rsid w:val="008153A4"/>
    <w:rsid w:val="008154DB"/>
    <w:rsid w:val="00815E00"/>
    <w:rsid w:val="00816082"/>
    <w:rsid w:val="008169B7"/>
    <w:rsid w:val="00817549"/>
    <w:rsid w:val="0082025D"/>
    <w:rsid w:val="0082079B"/>
    <w:rsid w:val="00820EB7"/>
    <w:rsid w:val="00821382"/>
    <w:rsid w:val="00821DB8"/>
    <w:rsid w:val="0082235E"/>
    <w:rsid w:val="00822672"/>
    <w:rsid w:val="00822876"/>
    <w:rsid w:val="00822E1D"/>
    <w:rsid w:val="00823302"/>
    <w:rsid w:val="00823865"/>
    <w:rsid w:val="00824569"/>
    <w:rsid w:val="00824CF3"/>
    <w:rsid w:val="0082515C"/>
    <w:rsid w:val="008255C3"/>
    <w:rsid w:val="00825656"/>
    <w:rsid w:val="008257A4"/>
    <w:rsid w:val="008269F9"/>
    <w:rsid w:val="008304D2"/>
    <w:rsid w:val="008309E3"/>
    <w:rsid w:val="00830C80"/>
    <w:rsid w:val="00831B16"/>
    <w:rsid w:val="0083229D"/>
    <w:rsid w:val="0083258C"/>
    <w:rsid w:val="008334C3"/>
    <w:rsid w:val="00833AD9"/>
    <w:rsid w:val="00834574"/>
    <w:rsid w:val="00834863"/>
    <w:rsid w:val="0083518F"/>
    <w:rsid w:val="00835692"/>
    <w:rsid w:val="008356DF"/>
    <w:rsid w:val="00835D6E"/>
    <w:rsid w:val="00836EE1"/>
    <w:rsid w:val="00840D53"/>
    <w:rsid w:val="00842862"/>
    <w:rsid w:val="00843309"/>
    <w:rsid w:val="0084385D"/>
    <w:rsid w:val="00844318"/>
    <w:rsid w:val="008445AB"/>
    <w:rsid w:val="00844607"/>
    <w:rsid w:val="008452CB"/>
    <w:rsid w:val="00846CBE"/>
    <w:rsid w:val="00846F96"/>
    <w:rsid w:val="008471A0"/>
    <w:rsid w:val="00847690"/>
    <w:rsid w:val="008477F2"/>
    <w:rsid w:val="00847EE6"/>
    <w:rsid w:val="00850D47"/>
    <w:rsid w:val="00850E90"/>
    <w:rsid w:val="00850F2A"/>
    <w:rsid w:val="008515C6"/>
    <w:rsid w:val="00853F1F"/>
    <w:rsid w:val="00854787"/>
    <w:rsid w:val="00855E9B"/>
    <w:rsid w:val="008565D8"/>
    <w:rsid w:val="00856737"/>
    <w:rsid w:val="00857788"/>
    <w:rsid w:val="00857ACA"/>
    <w:rsid w:val="008600A1"/>
    <w:rsid w:val="008607CB"/>
    <w:rsid w:val="00860A63"/>
    <w:rsid w:val="0086156B"/>
    <w:rsid w:val="00862C71"/>
    <w:rsid w:val="00863642"/>
    <w:rsid w:val="00863C67"/>
    <w:rsid w:val="00863FD7"/>
    <w:rsid w:val="0086519D"/>
    <w:rsid w:val="00866DE6"/>
    <w:rsid w:val="00866E4F"/>
    <w:rsid w:val="00870A4B"/>
    <w:rsid w:val="00871377"/>
    <w:rsid w:val="008714FE"/>
    <w:rsid w:val="00871998"/>
    <w:rsid w:val="00871FC2"/>
    <w:rsid w:val="0087286C"/>
    <w:rsid w:val="0087395B"/>
    <w:rsid w:val="00874BEF"/>
    <w:rsid w:val="008751AA"/>
    <w:rsid w:val="00875413"/>
    <w:rsid w:val="00875B5C"/>
    <w:rsid w:val="008761E9"/>
    <w:rsid w:val="0087644F"/>
    <w:rsid w:val="008772A8"/>
    <w:rsid w:val="008776BE"/>
    <w:rsid w:val="00877A72"/>
    <w:rsid w:val="00877FAD"/>
    <w:rsid w:val="0088014F"/>
    <w:rsid w:val="00880297"/>
    <w:rsid w:val="0088169E"/>
    <w:rsid w:val="00882D8C"/>
    <w:rsid w:val="008838BD"/>
    <w:rsid w:val="00884341"/>
    <w:rsid w:val="00884455"/>
    <w:rsid w:val="00884F28"/>
    <w:rsid w:val="00890709"/>
    <w:rsid w:val="00890AD3"/>
    <w:rsid w:val="0089169B"/>
    <w:rsid w:val="0089234A"/>
    <w:rsid w:val="0089242D"/>
    <w:rsid w:val="0089348F"/>
    <w:rsid w:val="0089359D"/>
    <w:rsid w:val="00893922"/>
    <w:rsid w:val="008943D3"/>
    <w:rsid w:val="008959CD"/>
    <w:rsid w:val="00897AC3"/>
    <w:rsid w:val="008A01D7"/>
    <w:rsid w:val="008A1173"/>
    <w:rsid w:val="008A1213"/>
    <w:rsid w:val="008A206E"/>
    <w:rsid w:val="008A30C8"/>
    <w:rsid w:val="008A30FD"/>
    <w:rsid w:val="008A31C3"/>
    <w:rsid w:val="008A3402"/>
    <w:rsid w:val="008A351F"/>
    <w:rsid w:val="008A4066"/>
    <w:rsid w:val="008A4848"/>
    <w:rsid w:val="008A5865"/>
    <w:rsid w:val="008A6F14"/>
    <w:rsid w:val="008A7690"/>
    <w:rsid w:val="008A782E"/>
    <w:rsid w:val="008A79EF"/>
    <w:rsid w:val="008A7C2D"/>
    <w:rsid w:val="008A7C45"/>
    <w:rsid w:val="008A7E1A"/>
    <w:rsid w:val="008B0BBE"/>
    <w:rsid w:val="008B1C69"/>
    <w:rsid w:val="008B246A"/>
    <w:rsid w:val="008B2C01"/>
    <w:rsid w:val="008B2DAA"/>
    <w:rsid w:val="008B3A25"/>
    <w:rsid w:val="008B3CD9"/>
    <w:rsid w:val="008B4117"/>
    <w:rsid w:val="008B439C"/>
    <w:rsid w:val="008B45EA"/>
    <w:rsid w:val="008B4852"/>
    <w:rsid w:val="008B56FC"/>
    <w:rsid w:val="008B5C6D"/>
    <w:rsid w:val="008B6016"/>
    <w:rsid w:val="008B71A0"/>
    <w:rsid w:val="008B7268"/>
    <w:rsid w:val="008C0203"/>
    <w:rsid w:val="008C0A29"/>
    <w:rsid w:val="008C162A"/>
    <w:rsid w:val="008C1D17"/>
    <w:rsid w:val="008C2FB1"/>
    <w:rsid w:val="008C507A"/>
    <w:rsid w:val="008C6F11"/>
    <w:rsid w:val="008C6FD2"/>
    <w:rsid w:val="008C724B"/>
    <w:rsid w:val="008D0216"/>
    <w:rsid w:val="008D02B9"/>
    <w:rsid w:val="008D051A"/>
    <w:rsid w:val="008D0877"/>
    <w:rsid w:val="008D0AB1"/>
    <w:rsid w:val="008D0FE5"/>
    <w:rsid w:val="008D14C1"/>
    <w:rsid w:val="008D283A"/>
    <w:rsid w:val="008D2E79"/>
    <w:rsid w:val="008D3D8D"/>
    <w:rsid w:val="008D426D"/>
    <w:rsid w:val="008D5278"/>
    <w:rsid w:val="008D6A05"/>
    <w:rsid w:val="008D7403"/>
    <w:rsid w:val="008D79F8"/>
    <w:rsid w:val="008E0987"/>
    <w:rsid w:val="008E0F3F"/>
    <w:rsid w:val="008E0FB1"/>
    <w:rsid w:val="008E17BB"/>
    <w:rsid w:val="008E20DB"/>
    <w:rsid w:val="008E22C6"/>
    <w:rsid w:val="008E23A2"/>
    <w:rsid w:val="008E39DA"/>
    <w:rsid w:val="008E3CCC"/>
    <w:rsid w:val="008E43B9"/>
    <w:rsid w:val="008E464A"/>
    <w:rsid w:val="008E4759"/>
    <w:rsid w:val="008E47ED"/>
    <w:rsid w:val="008E4AFB"/>
    <w:rsid w:val="008E4F64"/>
    <w:rsid w:val="008E5A00"/>
    <w:rsid w:val="008E5D4E"/>
    <w:rsid w:val="008F009A"/>
    <w:rsid w:val="008F0398"/>
    <w:rsid w:val="008F0540"/>
    <w:rsid w:val="008F174D"/>
    <w:rsid w:val="008F1C4B"/>
    <w:rsid w:val="008F1E66"/>
    <w:rsid w:val="008F2727"/>
    <w:rsid w:val="008F2BB0"/>
    <w:rsid w:val="008F2EF9"/>
    <w:rsid w:val="008F38F8"/>
    <w:rsid w:val="008F4653"/>
    <w:rsid w:val="008F4D2F"/>
    <w:rsid w:val="008F4FEB"/>
    <w:rsid w:val="008F7A73"/>
    <w:rsid w:val="009006CD"/>
    <w:rsid w:val="0090105C"/>
    <w:rsid w:val="0090153A"/>
    <w:rsid w:val="0090216F"/>
    <w:rsid w:val="009024E6"/>
    <w:rsid w:val="0090299F"/>
    <w:rsid w:val="009030FF"/>
    <w:rsid w:val="00903294"/>
    <w:rsid w:val="0090348F"/>
    <w:rsid w:val="00903EE3"/>
    <w:rsid w:val="0090406D"/>
    <w:rsid w:val="009040FF"/>
    <w:rsid w:val="00904203"/>
    <w:rsid w:val="009047D7"/>
    <w:rsid w:val="009056D3"/>
    <w:rsid w:val="009061DE"/>
    <w:rsid w:val="0090746D"/>
    <w:rsid w:val="009076E3"/>
    <w:rsid w:val="009077EB"/>
    <w:rsid w:val="009078F3"/>
    <w:rsid w:val="0091007E"/>
    <w:rsid w:val="009100B7"/>
    <w:rsid w:val="00910698"/>
    <w:rsid w:val="0091085B"/>
    <w:rsid w:val="00910A9E"/>
    <w:rsid w:val="0091158D"/>
    <w:rsid w:val="00911DE3"/>
    <w:rsid w:val="00911FCE"/>
    <w:rsid w:val="00912D69"/>
    <w:rsid w:val="0091308E"/>
    <w:rsid w:val="009144FD"/>
    <w:rsid w:val="00914E9B"/>
    <w:rsid w:val="00915084"/>
    <w:rsid w:val="0091701E"/>
    <w:rsid w:val="0091752D"/>
    <w:rsid w:val="0092018D"/>
    <w:rsid w:val="00920739"/>
    <w:rsid w:val="00920828"/>
    <w:rsid w:val="0092131A"/>
    <w:rsid w:val="00921B82"/>
    <w:rsid w:val="00923A7B"/>
    <w:rsid w:val="00923B97"/>
    <w:rsid w:val="009246C0"/>
    <w:rsid w:val="00924955"/>
    <w:rsid w:val="00925E73"/>
    <w:rsid w:val="00926946"/>
    <w:rsid w:val="00927EE7"/>
    <w:rsid w:val="00930299"/>
    <w:rsid w:val="00931E45"/>
    <w:rsid w:val="00931F32"/>
    <w:rsid w:val="00932B52"/>
    <w:rsid w:val="009337A4"/>
    <w:rsid w:val="00934130"/>
    <w:rsid w:val="0093418D"/>
    <w:rsid w:val="00934FD0"/>
    <w:rsid w:val="00935590"/>
    <w:rsid w:val="0093567B"/>
    <w:rsid w:val="00937283"/>
    <w:rsid w:val="00937570"/>
    <w:rsid w:val="0093773D"/>
    <w:rsid w:val="00937A00"/>
    <w:rsid w:val="00940AB1"/>
    <w:rsid w:val="00940AC4"/>
    <w:rsid w:val="0094110A"/>
    <w:rsid w:val="00941242"/>
    <w:rsid w:val="009412D3"/>
    <w:rsid w:val="00941456"/>
    <w:rsid w:val="00941CBD"/>
    <w:rsid w:val="009421CA"/>
    <w:rsid w:val="009424A4"/>
    <w:rsid w:val="00942599"/>
    <w:rsid w:val="00942C8C"/>
    <w:rsid w:val="00942CF3"/>
    <w:rsid w:val="00942EE6"/>
    <w:rsid w:val="00942F24"/>
    <w:rsid w:val="009432A0"/>
    <w:rsid w:val="00943FF4"/>
    <w:rsid w:val="00944654"/>
    <w:rsid w:val="00945583"/>
    <w:rsid w:val="00945949"/>
    <w:rsid w:val="00946CF0"/>
    <w:rsid w:val="00946F87"/>
    <w:rsid w:val="009472B3"/>
    <w:rsid w:val="00947B47"/>
    <w:rsid w:val="00947D33"/>
    <w:rsid w:val="00950726"/>
    <w:rsid w:val="00951153"/>
    <w:rsid w:val="00952681"/>
    <w:rsid w:val="00952823"/>
    <w:rsid w:val="00953863"/>
    <w:rsid w:val="00953AA7"/>
    <w:rsid w:val="00953B6F"/>
    <w:rsid w:val="009542B9"/>
    <w:rsid w:val="0095466C"/>
    <w:rsid w:val="0095576A"/>
    <w:rsid w:val="00955B57"/>
    <w:rsid w:val="00955CC6"/>
    <w:rsid w:val="009561BF"/>
    <w:rsid w:val="00956E25"/>
    <w:rsid w:val="0095762F"/>
    <w:rsid w:val="0096007A"/>
    <w:rsid w:val="00960E85"/>
    <w:rsid w:val="009610FE"/>
    <w:rsid w:val="00961B97"/>
    <w:rsid w:val="0096238E"/>
    <w:rsid w:val="00963FC9"/>
    <w:rsid w:val="009641EC"/>
    <w:rsid w:val="00965732"/>
    <w:rsid w:val="00965A95"/>
    <w:rsid w:val="00966AD6"/>
    <w:rsid w:val="009671FF"/>
    <w:rsid w:val="00967412"/>
    <w:rsid w:val="00967488"/>
    <w:rsid w:val="00967F6C"/>
    <w:rsid w:val="009701D2"/>
    <w:rsid w:val="00970AA1"/>
    <w:rsid w:val="009710CF"/>
    <w:rsid w:val="00971483"/>
    <w:rsid w:val="009718A4"/>
    <w:rsid w:val="00971D99"/>
    <w:rsid w:val="00972053"/>
    <w:rsid w:val="00972684"/>
    <w:rsid w:val="00972847"/>
    <w:rsid w:val="00972CA8"/>
    <w:rsid w:val="00972DB3"/>
    <w:rsid w:val="00973109"/>
    <w:rsid w:val="00973B9E"/>
    <w:rsid w:val="009743E9"/>
    <w:rsid w:val="00974602"/>
    <w:rsid w:val="00974B41"/>
    <w:rsid w:val="00974E80"/>
    <w:rsid w:val="009752F3"/>
    <w:rsid w:val="009760DA"/>
    <w:rsid w:val="00976397"/>
    <w:rsid w:val="00976514"/>
    <w:rsid w:val="0097716A"/>
    <w:rsid w:val="00977D02"/>
    <w:rsid w:val="00977F60"/>
    <w:rsid w:val="00980690"/>
    <w:rsid w:val="009819BC"/>
    <w:rsid w:val="00981DAF"/>
    <w:rsid w:val="0098210B"/>
    <w:rsid w:val="00982314"/>
    <w:rsid w:val="00982C5F"/>
    <w:rsid w:val="00983DF9"/>
    <w:rsid w:val="009841D2"/>
    <w:rsid w:val="009852E7"/>
    <w:rsid w:val="00985A5B"/>
    <w:rsid w:val="00985AEE"/>
    <w:rsid w:val="009862CE"/>
    <w:rsid w:val="009903F1"/>
    <w:rsid w:val="00990A39"/>
    <w:rsid w:val="00991963"/>
    <w:rsid w:val="00991ADE"/>
    <w:rsid w:val="009928C9"/>
    <w:rsid w:val="00994E5B"/>
    <w:rsid w:val="0099551C"/>
    <w:rsid w:val="00996042"/>
    <w:rsid w:val="00996382"/>
    <w:rsid w:val="00996813"/>
    <w:rsid w:val="009968D1"/>
    <w:rsid w:val="009976C7"/>
    <w:rsid w:val="00997AA9"/>
    <w:rsid w:val="00997DCA"/>
    <w:rsid w:val="00997F2B"/>
    <w:rsid w:val="009A0562"/>
    <w:rsid w:val="009A05DA"/>
    <w:rsid w:val="009A0689"/>
    <w:rsid w:val="009A0AB4"/>
    <w:rsid w:val="009A1E55"/>
    <w:rsid w:val="009A2136"/>
    <w:rsid w:val="009A2BC3"/>
    <w:rsid w:val="009A32CB"/>
    <w:rsid w:val="009A3C26"/>
    <w:rsid w:val="009A4850"/>
    <w:rsid w:val="009A5F8F"/>
    <w:rsid w:val="009A6451"/>
    <w:rsid w:val="009A6E66"/>
    <w:rsid w:val="009A7852"/>
    <w:rsid w:val="009A78C4"/>
    <w:rsid w:val="009A796B"/>
    <w:rsid w:val="009A7B25"/>
    <w:rsid w:val="009A7B9E"/>
    <w:rsid w:val="009B002D"/>
    <w:rsid w:val="009B05A5"/>
    <w:rsid w:val="009B07A3"/>
    <w:rsid w:val="009B0D0B"/>
    <w:rsid w:val="009B10A6"/>
    <w:rsid w:val="009B1131"/>
    <w:rsid w:val="009B2198"/>
    <w:rsid w:val="009B24A5"/>
    <w:rsid w:val="009B26F7"/>
    <w:rsid w:val="009B27B8"/>
    <w:rsid w:val="009B2C2C"/>
    <w:rsid w:val="009B2E4A"/>
    <w:rsid w:val="009B32E9"/>
    <w:rsid w:val="009B3627"/>
    <w:rsid w:val="009B4313"/>
    <w:rsid w:val="009B4ABC"/>
    <w:rsid w:val="009B4E7A"/>
    <w:rsid w:val="009B521C"/>
    <w:rsid w:val="009B53FF"/>
    <w:rsid w:val="009B5682"/>
    <w:rsid w:val="009B6293"/>
    <w:rsid w:val="009B64BE"/>
    <w:rsid w:val="009B688E"/>
    <w:rsid w:val="009B7E87"/>
    <w:rsid w:val="009C0882"/>
    <w:rsid w:val="009C08FB"/>
    <w:rsid w:val="009C1647"/>
    <w:rsid w:val="009C1E99"/>
    <w:rsid w:val="009C2785"/>
    <w:rsid w:val="009C32FB"/>
    <w:rsid w:val="009C359A"/>
    <w:rsid w:val="009C3B28"/>
    <w:rsid w:val="009C4121"/>
    <w:rsid w:val="009C418E"/>
    <w:rsid w:val="009C437E"/>
    <w:rsid w:val="009C4F56"/>
    <w:rsid w:val="009C5F9C"/>
    <w:rsid w:val="009C605F"/>
    <w:rsid w:val="009C6B30"/>
    <w:rsid w:val="009C6E1C"/>
    <w:rsid w:val="009C728B"/>
    <w:rsid w:val="009D02E2"/>
    <w:rsid w:val="009D03E8"/>
    <w:rsid w:val="009D0BFE"/>
    <w:rsid w:val="009D29FA"/>
    <w:rsid w:val="009D3472"/>
    <w:rsid w:val="009D3A4A"/>
    <w:rsid w:val="009D3B40"/>
    <w:rsid w:val="009D485E"/>
    <w:rsid w:val="009D5131"/>
    <w:rsid w:val="009D5374"/>
    <w:rsid w:val="009D55E8"/>
    <w:rsid w:val="009D5745"/>
    <w:rsid w:val="009D5BFC"/>
    <w:rsid w:val="009D5F88"/>
    <w:rsid w:val="009D61BB"/>
    <w:rsid w:val="009D64E6"/>
    <w:rsid w:val="009E00DC"/>
    <w:rsid w:val="009E0B28"/>
    <w:rsid w:val="009E0E26"/>
    <w:rsid w:val="009E15E4"/>
    <w:rsid w:val="009E165C"/>
    <w:rsid w:val="009E335D"/>
    <w:rsid w:val="009E365A"/>
    <w:rsid w:val="009E369F"/>
    <w:rsid w:val="009E447F"/>
    <w:rsid w:val="009E4937"/>
    <w:rsid w:val="009E5408"/>
    <w:rsid w:val="009E5B10"/>
    <w:rsid w:val="009E61B5"/>
    <w:rsid w:val="009E6ACD"/>
    <w:rsid w:val="009E7D40"/>
    <w:rsid w:val="009F044A"/>
    <w:rsid w:val="009F0902"/>
    <w:rsid w:val="009F1051"/>
    <w:rsid w:val="009F1AAD"/>
    <w:rsid w:val="009F1D66"/>
    <w:rsid w:val="009F1F64"/>
    <w:rsid w:val="009F20A6"/>
    <w:rsid w:val="009F2513"/>
    <w:rsid w:val="009F3502"/>
    <w:rsid w:val="009F42AF"/>
    <w:rsid w:val="009F4D31"/>
    <w:rsid w:val="009F4F49"/>
    <w:rsid w:val="009F70B7"/>
    <w:rsid w:val="009F75DE"/>
    <w:rsid w:val="009F7AA7"/>
    <w:rsid w:val="00A00BA5"/>
    <w:rsid w:val="00A01682"/>
    <w:rsid w:val="00A019E7"/>
    <w:rsid w:val="00A02441"/>
    <w:rsid w:val="00A02895"/>
    <w:rsid w:val="00A03A10"/>
    <w:rsid w:val="00A0515C"/>
    <w:rsid w:val="00A052FF"/>
    <w:rsid w:val="00A062EF"/>
    <w:rsid w:val="00A0682D"/>
    <w:rsid w:val="00A1136D"/>
    <w:rsid w:val="00A11AE2"/>
    <w:rsid w:val="00A121FB"/>
    <w:rsid w:val="00A12B9C"/>
    <w:rsid w:val="00A1343B"/>
    <w:rsid w:val="00A1392E"/>
    <w:rsid w:val="00A14B2F"/>
    <w:rsid w:val="00A1500A"/>
    <w:rsid w:val="00A15626"/>
    <w:rsid w:val="00A1602A"/>
    <w:rsid w:val="00A163E4"/>
    <w:rsid w:val="00A16753"/>
    <w:rsid w:val="00A16817"/>
    <w:rsid w:val="00A16AC1"/>
    <w:rsid w:val="00A175C6"/>
    <w:rsid w:val="00A17751"/>
    <w:rsid w:val="00A206EB"/>
    <w:rsid w:val="00A20751"/>
    <w:rsid w:val="00A20E88"/>
    <w:rsid w:val="00A20F7E"/>
    <w:rsid w:val="00A224D0"/>
    <w:rsid w:val="00A23580"/>
    <w:rsid w:val="00A2373E"/>
    <w:rsid w:val="00A240E2"/>
    <w:rsid w:val="00A24123"/>
    <w:rsid w:val="00A24525"/>
    <w:rsid w:val="00A2494F"/>
    <w:rsid w:val="00A2497D"/>
    <w:rsid w:val="00A25777"/>
    <w:rsid w:val="00A25E4C"/>
    <w:rsid w:val="00A25E8B"/>
    <w:rsid w:val="00A26422"/>
    <w:rsid w:val="00A2782A"/>
    <w:rsid w:val="00A27BB8"/>
    <w:rsid w:val="00A300F1"/>
    <w:rsid w:val="00A31475"/>
    <w:rsid w:val="00A32397"/>
    <w:rsid w:val="00A3350E"/>
    <w:rsid w:val="00A33F3F"/>
    <w:rsid w:val="00A34014"/>
    <w:rsid w:val="00A34F02"/>
    <w:rsid w:val="00A3532B"/>
    <w:rsid w:val="00A35399"/>
    <w:rsid w:val="00A35524"/>
    <w:rsid w:val="00A356C5"/>
    <w:rsid w:val="00A35B95"/>
    <w:rsid w:val="00A360E0"/>
    <w:rsid w:val="00A3628B"/>
    <w:rsid w:val="00A364F6"/>
    <w:rsid w:val="00A36B52"/>
    <w:rsid w:val="00A372EC"/>
    <w:rsid w:val="00A37799"/>
    <w:rsid w:val="00A37BF0"/>
    <w:rsid w:val="00A37FEE"/>
    <w:rsid w:val="00A40DC7"/>
    <w:rsid w:val="00A4117C"/>
    <w:rsid w:val="00A411A7"/>
    <w:rsid w:val="00A4187D"/>
    <w:rsid w:val="00A4211E"/>
    <w:rsid w:val="00A422FF"/>
    <w:rsid w:val="00A426AC"/>
    <w:rsid w:val="00A433DF"/>
    <w:rsid w:val="00A434AC"/>
    <w:rsid w:val="00A43519"/>
    <w:rsid w:val="00A43A84"/>
    <w:rsid w:val="00A44137"/>
    <w:rsid w:val="00A44783"/>
    <w:rsid w:val="00A44CD0"/>
    <w:rsid w:val="00A4555A"/>
    <w:rsid w:val="00A4588E"/>
    <w:rsid w:val="00A45A88"/>
    <w:rsid w:val="00A45DBD"/>
    <w:rsid w:val="00A4607B"/>
    <w:rsid w:val="00A460DD"/>
    <w:rsid w:val="00A46A87"/>
    <w:rsid w:val="00A46B76"/>
    <w:rsid w:val="00A4745C"/>
    <w:rsid w:val="00A51278"/>
    <w:rsid w:val="00A51529"/>
    <w:rsid w:val="00A51634"/>
    <w:rsid w:val="00A51662"/>
    <w:rsid w:val="00A51984"/>
    <w:rsid w:val="00A5207F"/>
    <w:rsid w:val="00A5231A"/>
    <w:rsid w:val="00A5285B"/>
    <w:rsid w:val="00A53035"/>
    <w:rsid w:val="00A5323E"/>
    <w:rsid w:val="00A5326F"/>
    <w:rsid w:val="00A535C7"/>
    <w:rsid w:val="00A53945"/>
    <w:rsid w:val="00A54B77"/>
    <w:rsid w:val="00A54FB1"/>
    <w:rsid w:val="00A5527C"/>
    <w:rsid w:val="00A565EA"/>
    <w:rsid w:val="00A56651"/>
    <w:rsid w:val="00A5666B"/>
    <w:rsid w:val="00A579F3"/>
    <w:rsid w:val="00A6063B"/>
    <w:rsid w:val="00A612B5"/>
    <w:rsid w:val="00A6187D"/>
    <w:rsid w:val="00A61DCE"/>
    <w:rsid w:val="00A623F9"/>
    <w:rsid w:val="00A6345C"/>
    <w:rsid w:val="00A64624"/>
    <w:rsid w:val="00A64E49"/>
    <w:rsid w:val="00A64E67"/>
    <w:rsid w:val="00A656C6"/>
    <w:rsid w:val="00A6636D"/>
    <w:rsid w:val="00A67627"/>
    <w:rsid w:val="00A700C9"/>
    <w:rsid w:val="00A70B02"/>
    <w:rsid w:val="00A70C1D"/>
    <w:rsid w:val="00A713B8"/>
    <w:rsid w:val="00A719D0"/>
    <w:rsid w:val="00A71BDE"/>
    <w:rsid w:val="00A72937"/>
    <w:rsid w:val="00A7330F"/>
    <w:rsid w:val="00A74B05"/>
    <w:rsid w:val="00A75BB6"/>
    <w:rsid w:val="00A75DCA"/>
    <w:rsid w:val="00A75F89"/>
    <w:rsid w:val="00A763CD"/>
    <w:rsid w:val="00A7690B"/>
    <w:rsid w:val="00A77CDB"/>
    <w:rsid w:val="00A804B0"/>
    <w:rsid w:val="00A81E60"/>
    <w:rsid w:val="00A827D0"/>
    <w:rsid w:val="00A82948"/>
    <w:rsid w:val="00A82F97"/>
    <w:rsid w:val="00A830E7"/>
    <w:rsid w:val="00A8328A"/>
    <w:rsid w:val="00A83DB6"/>
    <w:rsid w:val="00A83E72"/>
    <w:rsid w:val="00A83FCC"/>
    <w:rsid w:val="00A84B76"/>
    <w:rsid w:val="00A84D6A"/>
    <w:rsid w:val="00A852C6"/>
    <w:rsid w:val="00A855F6"/>
    <w:rsid w:val="00A8608F"/>
    <w:rsid w:val="00A86328"/>
    <w:rsid w:val="00A86659"/>
    <w:rsid w:val="00A87037"/>
    <w:rsid w:val="00A87A3E"/>
    <w:rsid w:val="00A87B19"/>
    <w:rsid w:val="00A87EB0"/>
    <w:rsid w:val="00A90621"/>
    <w:rsid w:val="00A91099"/>
    <w:rsid w:val="00A91958"/>
    <w:rsid w:val="00A91A62"/>
    <w:rsid w:val="00A92092"/>
    <w:rsid w:val="00A93090"/>
    <w:rsid w:val="00A93177"/>
    <w:rsid w:val="00A9347F"/>
    <w:rsid w:val="00A95A8F"/>
    <w:rsid w:val="00A963AD"/>
    <w:rsid w:val="00A968C9"/>
    <w:rsid w:val="00A96EC5"/>
    <w:rsid w:val="00A973CD"/>
    <w:rsid w:val="00A9775F"/>
    <w:rsid w:val="00A97ECB"/>
    <w:rsid w:val="00AA0183"/>
    <w:rsid w:val="00AA1573"/>
    <w:rsid w:val="00AA294C"/>
    <w:rsid w:val="00AA2DDA"/>
    <w:rsid w:val="00AA2FE4"/>
    <w:rsid w:val="00AA326B"/>
    <w:rsid w:val="00AA4628"/>
    <w:rsid w:val="00AA4A6A"/>
    <w:rsid w:val="00AA4AC4"/>
    <w:rsid w:val="00AA4C0B"/>
    <w:rsid w:val="00AA5395"/>
    <w:rsid w:val="00AA6FB3"/>
    <w:rsid w:val="00AA7114"/>
    <w:rsid w:val="00AA75C3"/>
    <w:rsid w:val="00AB0E4B"/>
    <w:rsid w:val="00AB1A21"/>
    <w:rsid w:val="00AB1B16"/>
    <w:rsid w:val="00AB2E26"/>
    <w:rsid w:val="00AB4DC2"/>
    <w:rsid w:val="00AB590E"/>
    <w:rsid w:val="00AB6495"/>
    <w:rsid w:val="00AB7F9B"/>
    <w:rsid w:val="00AC03D4"/>
    <w:rsid w:val="00AC05D7"/>
    <w:rsid w:val="00AC0AD7"/>
    <w:rsid w:val="00AC1559"/>
    <w:rsid w:val="00AC15ED"/>
    <w:rsid w:val="00AC1FA0"/>
    <w:rsid w:val="00AC343E"/>
    <w:rsid w:val="00AC3EB8"/>
    <w:rsid w:val="00AC46B5"/>
    <w:rsid w:val="00AC4D77"/>
    <w:rsid w:val="00AC51CD"/>
    <w:rsid w:val="00AC51FC"/>
    <w:rsid w:val="00AC6408"/>
    <w:rsid w:val="00AC6A9C"/>
    <w:rsid w:val="00AC6E98"/>
    <w:rsid w:val="00AD0444"/>
    <w:rsid w:val="00AD131C"/>
    <w:rsid w:val="00AD1397"/>
    <w:rsid w:val="00AD1BC7"/>
    <w:rsid w:val="00AD1D8F"/>
    <w:rsid w:val="00AD2145"/>
    <w:rsid w:val="00AD2440"/>
    <w:rsid w:val="00AD2A4B"/>
    <w:rsid w:val="00AD2A91"/>
    <w:rsid w:val="00AD2DC6"/>
    <w:rsid w:val="00AD3F91"/>
    <w:rsid w:val="00AD4DFD"/>
    <w:rsid w:val="00AD5C15"/>
    <w:rsid w:val="00AD7A02"/>
    <w:rsid w:val="00AE058F"/>
    <w:rsid w:val="00AE0A5A"/>
    <w:rsid w:val="00AE0A75"/>
    <w:rsid w:val="00AE14D5"/>
    <w:rsid w:val="00AE1929"/>
    <w:rsid w:val="00AE1AD7"/>
    <w:rsid w:val="00AE1C89"/>
    <w:rsid w:val="00AE1F00"/>
    <w:rsid w:val="00AE2916"/>
    <w:rsid w:val="00AE336F"/>
    <w:rsid w:val="00AE35B8"/>
    <w:rsid w:val="00AE3B89"/>
    <w:rsid w:val="00AE54A2"/>
    <w:rsid w:val="00AE55C0"/>
    <w:rsid w:val="00AE5F95"/>
    <w:rsid w:val="00AE663E"/>
    <w:rsid w:val="00AE6B24"/>
    <w:rsid w:val="00AE738E"/>
    <w:rsid w:val="00AE7DA0"/>
    <w:rsid w:val="00AF0394"/>
    <w:rsid w:val="00AF1CDC"/>
    <w:rsid w:val="00AF1EFC"/>
    <w:rsid w:val="00AF2756"/>
    <w:rsid w:val="00AF29EC"/>
    <w:rsid w:val="00AF2F8C"/>
    <w:rsid w:val="00AF313C"/>
    <w:rsid w:val="00AF387C"/>
    <w:rsid w:val="00AF3DD0"/>
    <w:rsid w:val="00AF4B39"/>
    <w:rsid w:val="00AF5D81"/>
    <w:rsid w:val="00AF5D8B"/>
    <w:rsid w:val="00AF68EC"/>
    <w:rsid w:val="00AF693D"/>
    <w:rsid w:val="00AF7374"/>
    <w:rsid w:val="00AF7C79"/>
    <w:rsid w:val="00B0032C"/>
    <w:rsid w:val="00B00881"/>
    <w:rsid w:val="00B00ECC"/>
    <w:rsid w:val="00B013A6"/>
    <w:rsid w:val="00B017FE"/>
    <w:rsid w:val="00B01B38"/>
    <w:rsid w:val="00B026F9"/>
    <w:rsid w:val="00B03AD5"/>
    <w:rsid w:val="00B04614"/>
    <w:rsid w:val="00B04623"/>
    <w:rsid w:val="00B047E2"/>
    <w:rsid w:val="00B04E28"/>
    <w:rsid w:val="00B05167"/>
    <w:rsid w:val="00B05495"/>
    <w:rsid w:val="00B0579D"/>
    <w:rsid w:val="00B066ED"/>
    <w:rsid w:val="00B067C2"/>
    <w:rsid w:val="00B06956"/>
    <w:rsid w:val="00B06B94"/>
    <w:rsid w:val="00B07234"/>
    <w:rsid w:val="00B07461"/>
    <w:rsid w:val="00B07790"/>
    <w:rsid w:val="00B10597"/>
    <w:rsid w:val="00B1067B"/>
    <w:rsid w:val="00B10BD5"/>
    <w:rsid w:val="00B111DE"/>
    <w:rsid w:val="00B11DFD"/>
    <w:rsid w:val="00B11FFB"/>
    <w:rsid w:val="00B1280E"/>
    <w:rsid w:val="00B1313A"/>
    <w:rsid w:val="00B1329A"/>
    <w:rsid w:val="00B133FB"/>
    <w:rsid w:val="00B13D9D"/>
    <w:rsid w:val="00B14132"/>
    <w:rsid w:val="00B15790"/>
    <w:rsid w:val="00B158CA"/>
    <w:rsid w:val="00B16BE0"/>
    <w:rsid w:val="00B16E3F"/>
    <w:rsid w:val="00B173B0"/>
    <w:rsid w:val="00B173FD"/>
    <w:rsid w:val="00B17714"/>
    <w:rsid w:val="00B1775F"/>
    <w:rsid w:val="00B20416"/>
    <w:rsid w:val="00B20BA3"/>
    <w:rsid w:val="00B232A2"/>
    <w:rsid w:val="00B2343C"/>
    <w:rsid w:val="00B23716"/>
    <w:rsid w:val="00B23A0F"/>
    <w:rsid w:val="00B25ADD"/>
    <w:rsid w:val="00B262F5"/>
    <w:rsid w:val="00B264ED"/>
    <w:rsid w:val="00B26BEB"/>
    <w:rsid w:val="00B277F2"/>
    <w:rsid w:val="00B278B5"/>
    <w:rsid w:val="00B303D4"/>
    <w:rsid w:val="00B31380"/>
    <w:rsid w:val="00B31598"/>
    <w:rsid w:val="00B31AEB"/>
    <w:rsid w:val="00B32878"/>
    <w:rsid w:val="00B32A44"/>
    <w:rsid w:val="00B334BA"/>
    <w:rsid w:val="00B3363E"/>
    <w:rsid w:val="00B33E14"/>
    <w:rsid w:val="00B3449B"/>
    <w:rsid w:val="00B361A3"/>
    <w:rsid w:val="00B366B4"/>
    <w:rsid w:val="00B36FDC"/>
    <w:rsid w:val="00B3752F"/>
    <w:rsid w:val="00B375A6"/>
    <w:rsid w:val="00B379DF"/>
    <w:rsid w:val="00B40C7D"/>
    <w:rsid w:val="00B41224"/>
    <w:rsid w:val="00B41254"/>
    <w:rsid w:val="00B4183C"/>
    <w:rsid w:val="00B418CD"/>
    <w:rsid w:val="00B428D9"/>
    <w:rsid w:val="00B42ACE"/>
    <w:rsid w:val="00B44AD0"/>
    <w:rsid w:val="00B46A7F"/>
    <w:rsid w:val="00B47829"/>
    <w:rsid w:val="00B505EC"/>
    <w:rsid w:val="00B52D55"/>
    <w:rsid w:val="00B53E57"/>
    <w:rsid w:val="00B542B1"/>
    <w:rsid w:val="00B5542F"/>
    <w:rsid w:val="00B55D06"/>
    <w:rsid w:val="00B563C9"/>
    <w:rsid w:val="00B57335"/>
    <w:rsid w:val="00B5758D"/>
    <w:rsid w:val="00B57597"/>
    <w:rsid w:val="00B575F6"/>
    <w:rsid w:val="00B6096A"/>
    <w:rsid w:val="00B60D70"/>
    <w:rsid w:val="00B60DA7"/>
    <w:rsid w:val="00B60FA1"/>
    <w:rsid w:val="00B618EF"/>
    <w:rsid w:val="00B622E1"/>
    <w:rsid w:val="00B623EA"/>
    <w:rsid w:val="00B62A6D"/>
    <w:rsid w:val="00B6309E"/>
    <w:rsid w:val="00B63767"/>
    <w:rsid w:val="00B63780"/>
    <w:rsid w:val="00B650FA"/>
    <w:rsid w:val="00B65244"/>
    <w:rsid w:val="00B65680"/>
    <w:rsid w:val="00B65CA8"/>
    <w:rsid w:val="00B65FF6"/>
    <w:rsid w:val="00B66015"/>
    <w:rsid w:val="00B66770"/>
    <w:rsid w:val="00B66B3A"/>
    <w:rsid w:val="00B66ED6"/>
    <w:rsid w:val="00B677F3"/>
    <w:rsid w:val="00B70668"/>
    <w:rsid w:val="00B70F68"/>
    <w:rsid w:val="00B7104F"/>
    <w:rsid w:val="00B71054"/>
    <w:rsid w:val="00B71453"/>
    <w:rsid w:val="00B71568"/>
    <w:rsid w:val="00B71A22"/>
    <w:rsid w:val="00B7205D"/>
    <w:rsid w:val="00B721D5"/>
    <w:rsid w:val="00B737A4"/>
    <w:rsid w:val="00B74492"/>
    <w:rsid w:val="00B7494D"/>
    <w:rsid w:val="00B75911"/>
    <w:rsid w:val="00B76A93"/>
    <w:rsid w:val="00B76CBC"/>
    <w:rsid w:val="00B80481"/>
    <w:rsid w:val="00B80C69"/>
    <w:rsid w:val="00B81B3F"/>
    <w:rsid w:val="00B81F6A"/>
    <w:rsid w:val="00B8531F"/>
    <w:rsid w:val="00B8581D"/>
    <w:rsid w:val="00B8665A"/>
    <w:rsid w:val="00B86E94"/>
    <w:rsid w:val="00B90E48"/>
    <w:rsid w:val="00B90F91"/>
    <w:rsid w:val="00B9384F"/>
    <w:rsid w:val="00B957BD"/>
    <w:rsid w:val="00B95D79"/>
    <w:rsid w:val="00B964B6"/>
    <w:rsid w:val="00BA066D"/>
    <w:rsid w:val="00BA0CB1"/>
    <w:rsid w:val="00BA0D15"/>
    <w:rsid w:val="00BA0F35"/>
    <w:rsid w:val="00BA14DB"/>
    <w:rsid w:val="00BA1D9B"/>
    <w:rsid w:val="00BA1E78"/>
    <w:rsid w:val="00BA290F"/>
    <w:rsid w:val="00BA3DE0"/>
    <w:rsid w:val="00BA4014"/>
    <w:rsid w:val="00BA4234"/>
    <w:rsid w:val="00BA44AE"/>
    <w:rsid w:val="00BA4B6D"/>
    <w:rsid w:val="00BA4EB8"/>
    <w:rsid w:val="00BA52C5"/>
    <w:rsid w:val="00BA64E2"/>
    <w:rsid w:val="00BA66A7"/>
    <w:rsid w:val="00BB0684"/>
    <w:rsid w:val="00BB0CED"/>
    <w:rsid w:val="00BB1836"/>
    <w:rsid w:val="00BB210F"/>
    <w:rsid w:val="00BB21C2"/>
    <w:rsid w:val="00BB3BD9"/>
    <w:rsid w:val="00BB3C95"/>
    <w:rsid w:val="00BB4293"/>
    <w:rsid w:val="00BB4958"/>
    <w:rsid w:val="00BB4A10"/>
    <w:rsid w:val="00BB4ECB"/>
    <w:rsid w:val="00BB5727"/>
    <w:rsid w:val="00BB646D"/>
    <w:rsid w:val="00BB68C7"/>
    <w:rsid w:val="00BB6EA0"/>
    <w:rsid w:val="00BB788C"/>
    <w:rsid w:val="00BB79A6"/>
    <w:rsid w:val="00BC0119"/>
    <w:rsid w:val="00BC07AA"/>
    <w:rsid w:val="00BC07D2"/>
    <w:rsid w:val="00BC1073"/>
    <w:rsid w:val="00BC271C"/>
    <w:rsid w:val="00BD03A9"/>
    <w:rsid w:val="00BD0CCF"/>
    <w:rsid w:val="00BD1FE9"/>
    <w:rsid w:val="00BD208E"/>
    <w:rsid w:val="00BD222A"/>
    <w:rsid w:val="00BD2DCB"/>
    <w:rsid w:val="00BD2ECB"/>
    <w:rsid w:val="00BD2ED5"/>
    <w:rsid w:val="00BD2F97"/>
    <w:rsid w:val="00BD3809"/>
    <w:rsid w:val="00BD3CA8"/>
    <w:rsid w:val="00BD3D19"/>
    <w:rsid w:val="00BD4276"/>
    <w:rsid w:val="00BD484B"/>
    <w:rsid w:val="00BD4D08"/>
    <w:rsid w:val="00BD52CF"/>
    <w:rsid w:val="00BD711A"/>
    <w:rsid w:val="00BD72E3"/>
    <w:rsid w:val="00BD739F"/>
    <w:rsid w:val="00BD7A93"/>
    <w:rsid w:val="00BD7A95"/>
    <w:rsid w:val="00BD7C85"/>
    <w:rsid w:val="00BE1048"/>
    <w:rsid w:val="00BE122C"/>
    <w:rsid w:val="00BE1611"/>
    <w:rsid w:val="00BE1EB8"/>
    <w:rsid w:val="00BE22CA"/>
    <w:rsid w:val="00BE241C"/>
    <w:rsid w:val="00BE30EC"/>
    <w:rsid w:val="00BE3108"/>
    <w:rsid w:val="00BE3D8C"/>
    <w:rsid w:val="00BE42FE"/>
    <w:rsid w:val="00BE4682"/>
    <w:rsid w:val="00BE64CF"/>
    <w:rsid w:val="00BE6B98"/>
    <w:rsid w:val="00BE7004"/>
    <w:rsid w:val="00BE710B"/>
    <w:rsid w:val="00BF0547"/>
    <w:rsid w:val="00BF0775"/>
    <w:rsid w:val="00BF0824"/>
    <w:rsid w:val="00BF0E72"/>
    <w:rsid w:val="00BF1440"/>
    <w:rsid w:val="00BF2434"/>
    <w:rsid w:val="00BF2CFE"/>
    <w:rsid w:val="00BF3C51"/>
    <w:rsid w:val="00BF4527"/>
    <w:rsid w:val="00BF49EF"/>
    <w:rsid w:val="00BF4B83"/>
    <w:rsid w:val="00BF5795"/>
    <w:rsid w:val="00BF5BC7"/>
    <w:rsid w:val="00BF5FA3"/>
    <w:rsid w:val="00BF6017"/>
    <w:rsid w:val="00C0032E"/>
    <w:rsid w:val="00C003C1"/>
    <w:rsid w:val="00C007D7"/>
    <w:rsid w:val="00C00A58"/>
    <w:rsid w:val="00C00C1A"/>
    <w:rsid w:val="00C01435"/>
    <w:rsid w:val="00C01DE9"/>
    <w:rsid w:val="00C030AF"/>
    <w:rsid w:val="00C03983"/>
    <w:rsid w:val="00C03C7A"/>
    <w:rsid w:val="00C04393"/>
    <w:rsid w:val="00C044DF"/>
    <w:rsid w:val="00C04FDC"/>
    <w:rsid w:val="00C0528F"/>
    <w:rsid w:val="00C05A60"/>
    <w:rsid w:val="00C06E57"/>
    <w:rsid w:val="00C07645"/>
    <w:rsid w:val="00C079E9"/>
    <w:rsid w:val="00C07FD4"/>
    <w:rsid w:val="00C101FD"/>
    <w:rsid w:val="00C10B00"/>
    <w:rsid w:val="00C11202"/>
    <w:rsid w:val="00C119B4"/>
    <w:rsid w:val="00C1250E"/>
    <w:rsid w:val="00C12D1E"/>
    <w:rsid w:val="00C13877"/>
    <w:rsid w:val="00C141F4"/>
    <w:rsid w:val="00C1434C"/>
    <w:rsid w:val="00C15527"/>
    <w:rsid w:val="00C156D5"/>
    <w:rsid w:val="00C15866"/>
    <w:rsid w:val="00C16375"/>
    <w:rsid w:val="00C172A2"/>
    <w:rsid w:val="00C172F2"/>
    <w:rsid w:val="00C175B7"/>
    <w:rsid w:val="00C17BE6"/>
    <w:rsid w:val="00C20131"/>
    <w:rsid w:val="00C20429"/>
    <w:rsid w:val="00C214B7"/>
    <w:rsid w:val="00C229CA"/>
    <w:rsid w:val="00C2329F"/>
    <w:rsid w:val="00C2411A"/>
    <w:rsid w:val="00C24AD3"/>
    <w:rsid w:val="00C250B4"/>
    <w:rsid w:val="00C2608E"/>
    <w:rsid w:val="00C26F33"/>
    <w:rsid w:val="00C27968"/>
    <w:rsid w:val="00C27E2F"/>
    <w:rsid w:val="00C3076C"/>
    <w:rsid w:val="00C30E4A"/>
    <w:rsid w:val="00C3131B"/>
    <w:rsid w:val="00C31F43"/>
    <w:rsid w:val="00C32AEA"/>
    <w:rsid w:val="00C33240"/>
    <w:rsid w:val="00C33AE6"/>
    <w:rsid w:val="00C33D71"/>
    <w:rsid w:val="00C34E76"/>
    <w:rsid w:val="00C353DF"/>
    <w:rsid w:val="00C3566E"/>
    <w:rsid w:val="00C35835"/>
    <w:rsid w:val="00C35A85"/>
    <w:rsid w:val="00C35E41"/>
    <w:rsid w:val="00C370DA"/>
    <w:rsid w:val="00C3720E"/>
    <w:rsid w:val="00C376FE"/>
    <w:rsid w:val="00C37A8F"/>
    <w:rsid w:val="00C40215"/>
    <w:rsid w:val="00C409E2"/>
    <w:rsid w:val="00C41A8D"/>
    <w:rsid w:val="00C42186"/>
    <w:rsid w:val="00C42B55"/>
    <w:rsid w:val="00C43700"/>
    <w:rsid w:val="00C43802"/>
    <w:rsid w:val="00C43EC0"/>
    <w:rsid w:val="00C45173"/>
    <w:rsid w:val="00C46905"/>
    <w:rsid w:val="00C535DB"/>
    <w:rsid w:val="00C538F1"/>
    <w:rsid w:val="00C54697"/>
    <w:rsid w:val="00C55235"/>
    <w:rsid w:val="00C554D7"/>
    <w:rsid w:val="00C55AAB"/>
    <w:rsid w:val="00C56FA2"/>
    <w:rsid w:val="00C571CB"/>
    <w:rsid w:val="00C5789F"/>
    <w:rsid w:val="00C610E5"/>
    <w:rsid w:val="00C6172E"/>
    <w:rsid w:val="00C6189A"/>
    <w:rsid w:val="00C61D33"/>
    <w:rsid w:val="00C61E33"/>
    <w:rsid w:val="00C62A0D"/>
    <w:rsid w:val="00C63637"/>
    <w:rsid w:val="00C639ED"/>
    <w:rsid w:val="00C63AEB"/>
    <w:rsid w:val="00C63D0A"/>
    <w:rsid w:val="00C64FD7"/>
    <w:rsid w:val="00C66532"/>
    <w:rsid w:val="00C66E34"/>
    <w:rsid w:val="00C66F48"/>
    <w:rsid w:val="00C67366"/>
    <w:rsid w:val="00C67438"/>
    <w:rsid w:val="00C67D6F"/>
    <w:rsid w:val="00C71993"/>
    <w:rsid w:val="00C719C7"/>
    <w:rsid w:val="00C71E3E"/>
    <w:rsid w:val="00C71E77"/>
    <w:rsid w:val="00C72F32"/>
    <w:rsid w:val="00C73418"/>
    <w:rsid w:val="00C7419E"/>
    <w:rsid w:val="00C74892"/>
    <w:rsid w:val="00C74DBC"/>
    <w:rsid w:val="00C74FAE"/>
    <w:rsid w:val="00C757E2"/>
    <w:rsid w:val="00C75CD8"/>
    <w:rsid w:val="00C7620A"/>
    <w:rsid w:val="00C7716C"/>
    <w:rsid w:val="00C77B42"/>
    <w:rsid w:val="00C77BB3"/>
    <w:rsid w:val="00C804C5"/>
    <w:rsid w:val="00C80D40"/>
    <w:rsid w:val="00C8199F"/>
    <w:rsid w:val="00C81B1A"/>
    <w:rsid w:val="00C822B5"/>
    <w:rsid w:val="00C82D15"/>
    <w:rsid w:val="00C83408"/>
    <w:rsid w:val="00C83EC9"/>
    <w:rsid w:val="00C83FAD"/>
    <w:rsid w:val="00C8444B"/>
    <w:rsid w:val="00C8482B"/>
    <w:rsid w:val="00C84AC1"/>
    <w:rsid w:val="00C84B0D"/>
    <w:rsid w:val="00C8616A"/>
    <w:rsid w:val="00C86535"/>
    <w:rsid w:val="00C86A8C"/>
    <w:rsid w:val="00C86D05"/>
    <w:rsid w:val="00C90C5F"/>
    <w:rsid w:val="00C9101F"/>
    <w:rsid w:val="00C91E57"/>
    <w:rsid w:val="00C91F28"/>
    <w:rsid w:val="00C92513"/>
    <w:rsid w:val="00C92571"/>
    <w:rsid w:val="00C93170"/>
    <w:rsid w:val="00C93A1F"/>
    <w:rsid w:val="00C93BD8"/>
    <w:rsid w:val="00C93EA8"/>
    <w:rsid w:val="00C945CB"/>
    <w:rsid w:val="00C94707"/>
    <w:rsid w:val="00C94BD9"/>
    <w:rsid w:val="00C9501F"/>
    <w:rsid w:val="00C9574C"/>
    <w:rsid w:val="00C96013"/>
    <w:rsid w:val="00C96232"/>
    <w:rsid w:val="00C9643A"/>
    <w:rsid w:val="00C964B2"/>
    <w:rsid w:val="00C96F0B"/>
    <w:rsid w:val="00C9730C"/>
    <w:rsid w:val="00CA03CC"/>
    <w:rsid w:val="00CA056B"/>
    <w:rsid w:val="00CA05E6"/>
    <w:rsid w:val="00CA0C01"/>
    <w:rsid w:val="00CA2018"/>
    <w:rsid w:val="00CA2268"/>
    <w:rsid w:val="00CA2BB3"/>
    <w:rsid w:val="00CA397A"/>
    <w:rsid w:val="00CA3D6C"/>
    <w:rsid w:val="00CA3EB9"/>
    <w:rsid w:val="00CA497E"/>
    <w:rsid w:val="00CA6B8C"/>
    <w:rsid w:val="00CB0B8A"/>
    <w:rsid w:val="00CB19CC"/>
    <w:rsid w:val="00CB1BC3"/>
    <w:rsid w:val="00CB1E72"/>
    <w:rsid w:val="00CB2095"/>
    <w:rsid w:val="00CB2443"/>
    <w:rsid w:val="00CB25D3"/>
    <w:rsid w:val="00CB2C31"/>
    <w:rsid w:val="00CB3807"/>
    <w:rsid w:val="00CB39E6"/>
    <w:rsid w:val="00CB3C22"/>
    <w:rsid w:val="00CB445A"/>
    <w:rsid w:val="00CB4B6A"/>
    <w:rsid w:val="00CB5D5B"/>
    <w:rsid w:val="00CB622C"/>
    <w:rsid w:val="00CB6D9B"/>
    <w:rsid w:val="00CB6FDB"/>
    <w:rsid w:val="00CB79A7"/>
    <w:rsid w:val="00CB7CCA"/>
    <w:rsid w:val="00CC02DC"/>
    <w:rsid w:val="00CC0673"/>
    <w:rsid w:val="00CC13FD"/>
    <w:rsid w:val="00CC14B9"/>
    <w:rsid w:val="00CC18C0"/>
    <w:rsid w:val="00CC19CD"/>
    <w:rsid w:val="00CC2008"/>
    <w:rsid w:val="00CC223B"/>
    <w:rsid w:val="00CC26EA"/>
    <w:rsid w:val="00CC3525"/>
    <w:rsid w:val="00CC35AF"/>
    <w:rsid w:val="00CC3C93"/>
    <w:rsid w:val="00CC3E41"/>
    <w:rsid w:val="00CC4639"/>
    <w:rsid w:val="00CC5038"/>
    <w:rsid w:val="00CC6713"/>
    <w:rsid w:val="00CC6AD9"/>
    <w:rsid w:val="00CC7374"/>
    <w:rsid w:val="00CC75FF"/>
    <w:rsid w:val="00CC7A14"/>
    <w:rsid w:val="00CD025E"/>
    <w:rsid w:val="00CD0784"/>
    <w:rsid w:val="00CD0F70"/>
    <w:rsid w:val="00CD13AB"/>
    <w:rsid w:val="00CD32CB"/>
    <w:rsid w:val="00CD380D"/>
    <w:rsid w:val="00CD5127"/>
    <w:rsid w:val="00CD5B25"/>
    <w:rsid w:val="00CD5E37"/>
    <w:rsid w:val="00CD6F6C"/>
    <w:rsid w:val="00CD7494"/>
    <w:rsid w:val="00CD7B79"/>
    <w:rsid w:val="00CE0856"/>
    <w:rsid w:val="00CE16AE"/>
    <w:rsid w:val="00CE1993"/>
    <w:rsid w:val="00CE1B87"/>
    <w:rsid w:val="00CE1D6E"/>
    <w:rsid w:val="00CE2B3C"/>
    <w:rsid w:val="00CE31D9"/>
    <w:rsid w:val="00CE3306"/>
    <w:rsid w:val="00CE331C"/>
    <w:rsid w:val="00CE35CE"/>
    <w:rsid w:val="00CE5272"/>
    <w:rsid w:val="00CE6261"/>
    <w:rsid w:val="00CE6CEC"/>
    <w:rsid w:val="00CE6D8F"/>
    <w:rsid w:val="00CE7863"/>
    <w:rsid w:val="00CE7B95"/>
    <w:rsid w:val="00CF194B"/>
    <w:rsid w:val="00CF2616"/>
    <w:rsid w:val="00CF2AEB"/>
    <w:rsid w:val="00CF4651"/>
    <w:rsid w:val="00CF49F7"/>
    <w:rsid w:val="00CF4C5D"/>
    <w:rsid w:val="00CF4FDC"/>
    <w:rsid w:val="00CF5D23"/>
    <w:rsid w:val="00CF625C"/>
    <w:rsid w:val="00CF7100"/>
    <w:rsid w:val="00CF7476"/>
    <w:rsid w:val="00CF770F"/>
    <w:rsid w:val="00CF7902"/>
    <w:rsid w:val="00CF79BF"/>
    <w:rsid w:val="00D0092C"/>
    <w:rsid w:val="00D00EB0"/>
    <w:rsid w:val="00D020F0"/>
    <w:rsid w:val="00D03181"/>
    <w:rsid w:val="00D03397"/>
    <w:rsid w:val="00D042AC"/>
    <w:rsid w:val="00D06974"/>
    <w:rsid w:val="00D06A3F"/>
    <w:rsid w:val="00D06CEF"/>
    <w:rsid w:val="00D06D90"/>
    <w:rsid w:val="00D0759B"/>
    <w:rsid w:val="00D07628"/>
    <w:rsid w:val="00D07F12"/>
    <w:rsid w:val="00D101AA"/>
    <w:rsid w:val="00D106A4"/>
    <w:rsid w:val="00D10A4D"/>
    <w:rsid w:val="00D11693"/>
    <w:rsid w:val="00D11ABD"/>
    <w:rsid w:val="00D11B58"/>
    <w:rsid w:val="00D11E1F"/>
    <w:rsid w:val="00D12903"/>
    <w:rsid w:val="00D12D81"/>
    <w:rsid w:val="00D13271"/>
    <w:rsid w:val="00D135E2"/>
    <w:rsid w:val="00D13A22"/>
    <w:rsid w:val="00D1420C"/>
    <w:rsid w:val="00D14C5F"/>
    <w:rsid w:val="00D14CF9"/>
    <w:rsid w:val="00D15233"/>
    <w:rsid w:val="00D15E88"/>
    <w:rsid w:val="00D16735"/>
    <w:rsid w:val="00D16EE2"/>
    <w:rsid w:val="00D17254"/>
    <w:rsid w:val="00D17345"/>
    <w:rsid w:val="00D20527"/>
    <w:rsid w:val="00D20DC6"/>
    <w:rsid w:val="00D21CDC"/>
    <w:rsid w:val="00D21E1C"/>
    <w:rsid w:val="00D2252D"/>
    <w:rsid w:val="00D227BC"/>
    <w:rsid w:val="00D22A2D"/>
    <w:rsid w:val="00D22E66"/>
    <w:rsid w:val="00D24488"/>
    <w:rsid w:val="00D245D3"/>
    <w:rsid w:val="00D24C05"/>
    <w:rsid w:val="00D25A58"/>
    <w:rsid w:val="00D25D3D"/>
    <w:rsid w:val="00D263EB"/>
    <w:rsid w:val="00D26543"/>
    <w:rsid w:val="00D26AD2"/>
    <w:rsid w:val="00D27387"/>
    <w:rsid w:val="00D27B07"/>
    <w:rsid w:val="00D27D39"/>
    <w:rsid w:val="00D3040B"/>
    <w:rsid w:val="00D314A0"/>
    <w:rsid w:val="00D31B6A"/>
    <w:rsid w:val="00D31D5A"/>
    <w:rsid w:val="00D3260B"/>
    <w:rsid w:val="00D327EF"/>
    <w:rsid w:val="00D33723"/>
    <w:rsid w:val="00D34BBD"/>
    <w:rsid w:val="00D3517C"/>
    <w:rsid w:val="00D358BB"/>
    <w:rsid w:val="00D363C7"/>
    <w:rsid w:val="00D37FB9"/>
    <w:rsid w:val="00D414B4"/>
    <w:rsid w:val="00D421C0"/>
    <w:rsid w:val="00D421ED"/>
    <w:rsid w:val="00D429F9"/>
    <w:rsid w:val="00D43093"/>
    <w:rsid w:val="00D4313A"/>
    <w:rsid w:val="00D43158"/>
    <w:rsid w:val="00D4449C"/>
    <w:rsid w:val="00D44DEB"/>
    <w:rsid w:val="00D457D6"/>
    <w:rsid w:val="00D457F7"/>
    <w:rsid w:val="00D46F88"/>
    <w:rsid w:val="00D47922"/>
    <w:rsid w:val="00D47A76"/>
    <w:rsid w:val="00D502A8"/>
    <w:rsid w:val="00D50B64"/>
    <w:rsid w:val="00D50D19"/>
    <w:rsid w:val="00D512DF"/>
    <w:rsid w:val="00D51699"/>
    <w:rsid w:val="00D51725"/>
    <w:rsid w:val="00D51A04"/>
    <w:rsid w:val="00D51B9F"/>
    <w:rsid w:val="00D52436"/>
    <w:rsid w:val="00D524BF"/>
    <w:rsid w:val="00D53145"/>
    <w:rsid w:val="00D54CC4"/>
    <w:rsid w:val="00D55106"/>
    <w:rsid w:val="00D56291"/>
    <w:rsid w:val="00D5629F"/>
    <w:rsid w:val="00D5643E"/>
    <w:rsid w:val="00D57B00"/>
    <w:rsid w:val="00D60288"/>
    <w:rsid w:val="00D60861"/>
    <w:rsid w:val="00D61600"/>
    <w:rsid w:val="00D61BC9"/>
    <w:rsid w:val="00D6208D"/>
    <w:rsid w:val="00D6263A"/>
    <w:rsid w:val="00D6314D"/>
    <w:rsid w:val="00D633E5"/>
    <w:rsid w:val="00D63AD8"/>
    <w:rsid w:val="00D63D54"/>
    <w:rsid w:val="00D645EC"/>
    <w:rsid w:val="00D64615"/>
    <w:rsid w:val="00D64A45"/>
    <w:rsid w:val="00D64AD5"/>
    <w:rsid w:val="00D65579"/>
    <w:rsid w:val="00D65B86"/>
    <w:rsid w:val="00D65CC4"/>
    <w:rsid w:val="00D65D51"/>
    <w:rsid w:val="00D66199"/>
    <w:rsid w:val="00D6678A"/>
    <w:rsid w:val="00D66EA0"/>
    <w:rsid w:val="00D67386"/>
    <w:rsid w:val="00D6755E"/>
    <w:rsid w:val="00D70718"/>
    <w:rsid w:val="00D7128E"/>
    <w:rsid w:val="00D718D4"/>
    <w:rsid w:val="00D72097"/>
    <w:rsid w:val="00D7267F"/>
    <w:rsid w:val="00D72A65"/>
    <w:rsid w:val="00D72BA2"/>
    <w:rsid w:val="00D72D0B"/>
    <w:rsid w:val="00D72E29"/>
    <w:rsid w:val="00D73B1E"/>
    <w:rsid w:val="00D73C7F"/>
    <w:rsid w:val="00D7447A"/>
    <w:rsid w:val="00D74C09"/>
    <w:rsid w:val="00D75326"/>
    <w:rsid w:val="00D75BAC"/>
    <w:rsid w:val="00D7640B"/>
    <w:rsid w:val="00D7699C"/>
    <w:rsid w:val="00D76FE4"/>
    <w:rsid w:val="00D776E6"/>
    <w:rsid w:val="00D77DCB"/>
    <w:rsid w:val="00D77FF5"/>
    <w:rsid w:val="00D8017E"/>
    <w:rsid w:val="00D803DB"/>
    <w:rsid w:val="00D80AE2"/>
    <w:rsid w:val="00D80B49"/>
    <w:rsid w:val="00D816D1"/>
    <w:rsid w:val="00D81935"/>
    <w:rsid w:val="00D81E1D"/>
    <w:rsid w:val="00D82A0D"/>
    <w:rsid w:val="00D82B45"/>
    <w:rsid w:val="00D83398"/>
    <w:rsid w:val="00D8354E"/>
    <w:rsid w:val="00D83600"/>
    <w:rsid w:val="00D8361F"/>
    <w:rsid w:val="00D83D84"/>
    <w:rsid w:val="00D843BC"/>
    <w:rsid w:val="00D85168"/>
    <w:rsid w:val="00D86C83"/>
    <w:rsid w:val="00D87105"/>
    <w:rsid w:val="00D90AB1"/>
    <w:rsid w:val="00D91977"/>
    <w:rsid w:val="00D91E0B"/>
    <w:rsid w:val="00D91F7E"/>
    <w:rsid w:val="00D923B3"/>
    <w:rsid w:val="00D92B19"/>
    <w:rsid w:val="00D93A8B"/>
    <w:rsid w:val="00D93F97"/>
    <w:rsid w:val="00D9431B"/>
    <w:rsid w:val="00D944EF"/>
    <w:rsid w:val="00D9577E"/>
    <w:rsid w:val="00D95D6C"/>
    <w:rsid w:val="00D96007"/>
    <w:rsid w:val="00D9649F"/>
    <w:rsid w:val="00D965EA"/>
    <w:rsid w:val="00D96896"/>
    <w:rsid w:val="00D972E5"/>
    <w:rsid w:val="00D978DB"/>
    <w:rsid w:val="00D97C51"/>
    <w:rsid w:val="00D97CCE"/>
    <w:rsid w:val="00DA023B"/>
    <w:rsid w:val="00DA0638"/>
    <w:rsid w:val="00DA21BB"/>
    <w:rsid w:val="00DA2FB6"/>
    <w:rsid w:val="00DA32AD"/>
    <w:rsid w:val="00DA331B"/>
    <w:rsid w:val="00DA3C15"/>
    <w:rsid w:val="00DA4956"/>
    <w:rsid w:val="00DA708E"/>
    <w:rsid w:val="00DA749E"/>
    <w:rsid w:val="00DA75EC"/>
    <w:rsid w:val="00DA7C31"/>
    <w:rsid w:val="00DB080B"/>
    <w:rsid w:val="00DB0C5A"/>
    <w:rsid w:val="00DB0E75"/>
    <w:rsid w:val="00DB11B3"/>
    <w:rsid w:val="00DB1421"/>
    <w:rsid w:val="00DB16C6"/>
    <w:rsid w:val="00DB1A5F"/>
    <w:rsid w:val="00DB206F"/>
    <w:rsid w:val="00DB29C6"/>
    <w:rsid w:val="00DB38CE"/>
    <w:rsid w:val="00DB5BE3"/>
    <w:rsid w:val="00DB66FD"/>
    <w:rsid w:val="00DB67C3"/>
    <w:rsid w:val="00DB6A21"/>
    <w:rsid w:val="00DC00F7"/>
    <w:rsid w:val="00DC031E"/>
    <w:rsid w:val="00DC0692"/>
    <w:rsid w:val="00DC10BD"/>
    <w:rsid w:val="00DC2051"/>
    <w:rsid w:val="00DC2A48"/>
    <w:rsid w:val="00DC31E1"/>
    <w:rsid w:val="00DC47D6"/>
    <w:rsid w:val="00DC4E31"/>
    <w:rsid w:val="00DC511B"/>
    <w:rsid w:val="00DC52AB"/>
    <w:rsid w:val="00DC53B5"/>
    <w:rsid w:val="00DC546C"/>
    <w:rsid w:val="00DC5587"/>
    <w:rsid w:val="00DC6174"/>
    <w:rsid w:val="00DC61F9"/>
    <w:rsid w:val="00DC677D"/>
    <w:rsid w:val="00DC780A"/>
    <w:rsid w:val="00DD1633"/>
    <w:rsid w:val="00DD1873"/>
    <w:rsid w:val="00DD194B"/>
    <w:rsid w:val="00DD1D29"/>
    <w:rsid w:val="00DD204A"/>
    <w:rsid w:val="00DD20EE"/>
    <w:rsid w:val="00DD271C"/>
    <w:rsid w:val="00DD2EDF"/>
    <w:rsid w:val="00DD3096"/>
    <w:rsid w:val="00DD39A3"/>
    <w:rsid w:val="00DD3A3B"/>
    <w:rsid w:val="00DD3B92"/>
    <w:rsid w:val="00DD613E"/>
    <w:rsid w:val="00DD7BE8"/>
    <w:rsid w:val="00DE0096"/>
    <w:rsid w:val="00DE10BB"/>
    <w:rsid w:val="00DE14D3"/>
    <w:rsid w:val="00DE1B02"/>
    <w:rsid w:val="00DE22F5"/>
    <w:rsid w:val="00DE3018"/>
    <w:rsid w:val="00DE4DE3"/>
    <w:rsid w:val="00DE57D2"/>
    <w:rsid w:val="00DE5B53"/>
    <w:rsid w:val="00DE68BA"/>
    <w:rsid w:val="00DE6FD2"/>
    <w:rsid w:val="00DE77A3"/>
    <w:rsid w:val="00DE7D9C"/>
    <w:rsid w:val="00DF0373"/>
    <w:rsid w:val="00DF0A66"/>
    <w:rsid w:val="00DF0D93"/>
    <w:rsid w:val="00DF1B49"/>
    <w:rsid w:val="00DF20A8"/>
    <w:rsid w:val="00DF220D"/>
    <w:rsid w:val="00DF2443"/>
    <w:rsid w:val="00DF2563"/>
    <w:rsid w:val="00DF2C75"/>
    <w:rsid w:val="00DF3063"/>
    <w:rsid w:val="00DF37A2"/>
    <w:rsid w:val="00DF398A"/>
    <w:rsid w:val="00DF55C8"/>
    <w:rsid w:val="00DF5A4E"/>
    <w:rsid w:val="00DF5CED"/>
    <w:rsid w:val="00DF72C2"/>
    <w:rsid w:val="00DF7543"/>
    <w:rsid w:val="00E00926"/>
    <w:rsid w:val="00E0191C"/>
    <w:rsid w:val="00E01BE1"/>
    <w:rsid w:val="00E01F36"/>
    <w:rsid w:val="00E02D0A"/>
    <w:rsid w:val="00E03025"/>
    <w:rsid w:val="00E0364B"/>
    <w:rsid w:val="00E048B9"/>
    <w:rsid w:val="00E04B83"/>
    <w:rsid w:val="00E058AE"/>
    <w:rsid w:val="00E06528"/>
    <w:rsid w:val="00E065CB"/>
    <w:rsid w:val="00E067AE"/>
    <w:rsid w:val="00E067BC"/>
    <w:rsid w:val="00E076B1"/>
    <w:rsid w:val="00E07771"/>
    <w:rsid w:val="00E077A6"/>
    <w:rsid w:val="00E11859"/>
    <w:rsid w:val="00E125A9"/>
    <w:rsid w:val="00E13A8F"/>
    <w:rsid w:val="00E144BE"/>
    <w:rsid w:val="00E14940"/>
    <w:rsid w:val="00E15075"/>
    <w:rsid w:val="00E15AA0"/>
    <w:rsid w:val="00E165D4"/>
    <w:rsid w:val="00E16F81"/>
    <w:rsid w:val="00E1705F"/>
    <w:rsid w:val="00E17198"/>
    <w:rsid w:val="00E171B1"/>
    <w:rsid w:val="00E17276"/>
    <w:rsid w:val="00E17361"/>
    <w:rsid w:val="00E17F5D"/>
    <w:rsid w:val="00E207EE"/>
    <w:rsid w:val="00E20BB9"/>
    <w:rsid w:val="00E20C31"/>
    <w:rsid w:val="00E20D25"/>
    <w:rsid w:val="00E214C5"/>
    <w:rsid w:val="00E21744"/>
    <w:rsid w:val="00E2219A"/>
    <w:rsid w:val="00E2251F"/>
    <w:rsid w:val="00E2258F"/>
    <w:rsid w:val="00E229C5"/>
    <w:rsid w:val="00E259D0"/>
    <w:rsid w:val="00E275C9"/>
    <w:rsid w:val="00E30477"/>
    <w:rsid w:val="00E30603"/>
    <w:rsid w:val="00E3152A"/>
    <w:rsid w:val="00E31847"/>
    <w:rsid w:val="00E31FDF"/>
    <w:rsid w:val="00E326AD"/>
    <w:rsid w:val="00E33139"/>
    <w:rsid w:val="00E3324A"/>
    <w:rsid w:val="00E333AB"/>
    <w:rsid w:val="00E33411"/>
    <w:rsid w:val="00E33C28"/>
    <w:rsid w:val="00E34E75"/>
    <w:rsid w:val="00E3504B"/>
    <w:rsid w:val="00E3556F"/>
    <w:rsid w:val="00E355A0"/>
    <w:rsid w:val="00E358CF"/>
    <w:rsid w:val="00E35F8A"/>
    <w:rsid w:val="00E35FCC"/>
    <w:rsid w:val="00E36445"/>
    <w:rsid w:val="00E369CA"/>
    <w:rsid w:val="00E36A4B"/>
    <w:rsid w:val="00E36CCD"/>
    <w:rsid w:val="00E3715D"/>
    <w:rsid w:val="00E37797"/>
    <w:rsid w:val="00E3791C"/>
    <w:rsid w:val="00E402D2"/>
    <w:rsid w:val="00E4038D"/>
    <w:rsid w:val="00E40A35"/>
    <w:rsid w:val="00E40E43"/>
    <w:rsid w:val="00E426C8"/>
    <w:rsid w:val="00E42F04"/>
    <w:rsid w:val="00E43333"/>
    <w:rsid w:val="00E43995"/>
    <w:rsid w:val="00E447E6"/>
    <w:rsid w:val="00E447EB"/>
    <w:rsid w:val="00E448EA"/>
    <w:rsid w:val="00E44D18"/>
    <w:rsid w:val="00E45072"/>
    <w:rsid w:val="00E45BAD"/>
    <w:rsid w:val="00E45F86"/>
    <w:rsid w:val="00E45FC6"/>
    <w:rsid w:val="00E47339"/>
    <w:rsid w:val="00E474BD"/>
    <w:rsid w:val="00E476C2"/>
    <w:rsid w:val="00E47CF2"/>
    <w:rsid w:val="00E5008A"/>
    <w:rsid w:val="00E501B9"/>
    <w:rsid w:val="00E50903"/>
    <w:rsid w:val="00E50D9A"/>
    <w:rsid w:val="00E50F28"/>
    <w:rsid w:val="00E51365"/>
    <w:rsid w:val="00E517F9"/>
    <w:rsid w:val="00E51A3C"/>
    <w:rsid w:val="00E51FFC"/>
    <w:rsid w:val="00E522CE"/>
    <w:rsid w:val="00E530DD"/>
    <w:rsid w:val="00E53481"/>
    <w:rsid w:val="00E537BD"/>
    <w:rsid w:val="00E54497"/>
    <w:rsid w:val="00E54D9A"/>
    <w:rsid w:val="00E5530D"/>
    <w:rsid w:val="00E56964"/>
    <w:rsid w:val="00E56F09"/>
    <w:rsid w:val="00E56FE3"/>
    <w:rsid w:val="00E572F3"/>
    <w:rsid w:val="00E57699"/>
    <w:rsid w:val="00E57966"/>
    <w:rsid w:val="00E60C12"/>
    <w:rsid w:val="00E613E1"/>
    <w:rsid w:val="00E62683"/>
    <w:rsid w:val="00E62A47"/>
    <w:rsid w:val="00E62C66"/>
    <w:rsid w:val="00E6348B"/>
    <w:rsid w:val="00E634E9"/>
    <w:rsid w:val="00E637FD"/>
    <w:rsid w:val="00E63B28"/>
    <w:rsid w:val="00E646C2"/>
    <w:rsid w:val="00E6495A"/>
    <w:rsid w:val="00E65712"/>
    <w:rsid w:val="00E65A51"/>
    <w:rsid w:val="00E661F3"/>
    <w:rsid w:val="00E663D5"/>
    <w:rsid w:val="00E66F29"/>
    <w:rsid w:val="00E66F44"/>
    <w:rsid w:val="00E70100"/>
    <w:rsid w:val="00E70BE4"/>
    <w:rsid w:val="00E70C36"/>
    <w:rsid w:val="00E71BAC"/>
    <w:rsid w:val="00E71FB1"/>
    <w:rsid w:val="00E73383"/>
    <w:rsid w:val="00E74314"/>
    <w:rsid w:val="00E7493E"/>
    <w:rsid w:val="00E75109"/>
    <w:rsid w:val="00E75215"/>
    <w:rsid w:val="00E75480"/>
    <w:rsid w:val="00E755A5"/>
    <w:rsid w:val="00E75F4B"/>
    <w:rsid w:val="00E76FC2"/>
    <w:rsid w:val="00E77703"/>
    <w:rsid w:val="00E800D2"/>
    <w:rsid w:val="00E8024B"/>
    <w:rsid w:val="00E80980"/>
    <w:rsid w:val="00E8099A"/>
    <w:rsid w:val="00E80F19"/>
    <w:rsid w:val="00E833E9"/>
    <w:rsid w:val="00E83B28"/>
    <w:rsid w:val="00E83CE4"/>
    <w:rsid w:val="00E8639E"/>
    <w:rsid w:val="00E86433"/>
    <w:rsid w:val="00E868EB"/>
    <w:rsid w:val="00E86A72"/>
    <w:rsid w:val="00E86B49"/>
    <w:rsid w:val="00E87AA5"/>
    <w:rsid w:val="00E87E7A"/>
    <w:rsid w:val="00E9018B"/>
    <w:rsid w:val="00E90B82"/>
    <w:rsid w:val="00E916DC"/>
    <w:rsid w:val="00E91C15"/>
    <w:rsid w:val="00E92385"/>
    <w:rsid w:val="00E92546"/>
    <w:rsid w:val="00E930A8"/>
    <w:rsid w:val="00E94115"/>
    <w:rsid w:val="00E9433F"/>
    <w:rsid w:val="00E94D26"/>
    <w:rsid w:val="00E955BF"/>
    <w:rsid w:val="00E95743"/>
    <w:rsid w:val="00E97294"/>
    <w:rsid w:val="00EA0326"/>
    <w:rsid w:val="00EA086D"/>
    <w:rsid w:val="00EA1CE7"/>
    <w:rsid w:val="00EA2E0B"/>
    <w:rsid w:val="00EA4092"/>
    <w:rsid w:val="00EA4A41"/>
    <w:rsid w:val="00EA4CB4"/>
    <w:rsid w:val="00EA4E4C"/>
    <w:rsid w:val="00EA619F"/>
    <w:rsid w:val="00EA7CE0"/>
    <w:rsid w:val="00EB02B7"/>
    <w:rsid w:val="00EB05D1"/>
    <w:rsid w:val="00EB18F7"/>
    <w:rsid w:val="00EB2637"/>
    <w:rsid w:val="00EB276C"/>
    <w:rsid w:val="00EB27DF"/>
    <w:rsid w:val="00EB2AA8"/>
    <w:rsid w:val="00EB2B6B"/>
    <w:rsid w:val="00EB3488"/>
    <w:rsid w:val="00EB3B98"/>
    <w:rsid w:val="00EB4029"/>
    <w:rsid w:val="00EB459C"/>
    <w:rsid w:val="00EB4756"/>
    <w:rsid w:val="00EB4BCF"/>
    <w:rsid w:val="00EB53E0"/>
    <w:rsid w:val="00EB5FF4"/>
    <w:rsid w:val="00EB60E2"/>
    <w:rsid w:val="00EB6789"/>
    <w:rsid w:val="00EB6AAF"/>
    <w:rsid w:val="00EB79C0"/>
    <w:rsid w:val="00EB7CF7"/>
    <w:rsid w:val="00EC00AC"/>
    <w:rsid w:val="00EC05E0"/>
    <w:rsid w:val="00EC06E9"/>
    <w:rsid w:val="00EC0D94"/>
    <w:rsid w:val="00EC20E3"/>
    <w:rsid w:val="00EC2A0E"/>
    <w:rsid w:val="00EC2BC2"/>
    <w:rsid w:val="00EC2BDC"/>
    <w:rsid w:val="00EC2C27"/>
    <w:rsid w:val="00EC2E0A"/>
    <w:rsid w:val="00EC3325"/>
    <w:rsid w:val="00EC3665"/>
    <w:rsid w:val="00EC3FE2"/>
    <w:rsid w:val="00EC497F"/>
    <w:rsid w:val="00EC5343"/>
    <w:rsid w:val="00EC5719"/>
    <w:rsid w:val="00EC699F"/>
    <w:rsid w:val="00ED06BB"/>
    <w:rsid w:val="00ED2CFD"/>
    <w:rsid w:val="00ED30D6"/>
    <w:rsid w:val="00ED3393"/>
    <w:rsid w:val="00ED3C59"/>
    <w:rsid w:val="00ED4300"/>
    <w:rsid w:val="00ED4827"/>
    <w:rsid w:val="00ED6AE5"/>
    <w:rsid w:val="00ED6B69"/>
    <w:rsid w:val="00EE0224"/>
    <w:rsid w:val="00EE03B7"/>
    <w:rsid w:val="00EE16A4"/>
    <w:rsid w:val="00EE18EF"/>
    <w:rsid w:val="00EE1948"/>
    <w:rsid w:val="00EE246F"/>
    <w:rsid w:val="00EE3CD5"/>
    <w:rsid w:val="00EE3E75"/>
    <w:rsid w:val="00EE44BA"/>
    <w:rsid w:val="00EE4DEF"/>
    <w:rsid w:val="00EE53B5"/>
    <w:rsid w:val="00EE5424"/>
    <w:rsid w:val="00EE5F9F"/>
    <w:rsid w:val="00EE6BA2"/>
    <w:rsid w:val="00EE6DBB"/>
    <w:rsid w:val="00EE715A"/>
    <w:rsid w:val="00EE7A75"/>
    <w:rsid w:val="00EF0251"/>
    <w:rsid w:val="00EF0643"/>
    <w:rsid w:val="00EF1C3E"/>
    <w:rsid w:val="00EF1D9D"/>
    <w:rsid w:val="00EF1EA8"/>
    <w:rsid w:val="00EF36F4"/>
    <w:rsid w:val="00EF495F"/>
    <w:rsid w:val="00EF5838"/>
    <w:rsid w:val="00EF58D4"/>
    <w:rsid w:val="00EF5963"/>
    <w:rsid w:val="00EF59D7"/>
    <w:rsid w:val="00EF6472"/>
    <w:rsid w:val="00EF6500"/>
    <w:rsid w:val="00EF743E"/>
    <w:rsid w:val="00EF770E"/>
    <w:rsid w:val="00EF7BFD"/>
    <w:rsid w:val="00EF7C68"/>
    <w:rsid w:val="00EF7E34"/>
    <w:rsid w:val="00F0008B"/>
    <w:rsid w:val="00F00E63"/>
    <w:rsid w:val="00F0273F"/>
    <w:rsid w:val="00F0302E"/>
    <w:rsid w:val="00F037EC"/>
    <w:rsid w:val="00F03AD3"/>
    <w:rsid w:val="00F04656"/>
    <w:rsid w:val="00F04762"/>
    <w:rsid w:val="00F048DA"/>
    <w:rsid w:val="00F05411"/>
    <w:rsid w:val="00F05594"/>
    <w:rsid w:val="00F058A1"/>
    <w:rsid w:val="00F05DD2"/>
    <w:rsid w:val="00F069A5"/>
    <w:rsid w:val="00F06C48"/>
    <w:rsid w:val="00F071C4"/>
    <w:rsid w:val="00F07E62"/>
    <w:rsid w:val="00F07EF1"/>
    <w:rsid w:val="00F07F4E"/>
    <w:rsid w:val="00F10BE4"/>
    <w:rsid w:val="00F1142A"/>
    <w:rsid w:val="00F1172A"/>
    <w:rsid w:val="00F125C2"/>
    <w:rsid w:val="00F12825"/>
    <w:rsid w:val="00F12B81"/>
    <w:rsid w:val="00F130B1"/>
    <w:rsid w:val="00F13A29"/>
    <w:rsid w:val="00F13B48"/>
    <w:rsid w:val="00F1417F"/>
    <w:rsid w:val="00F143B3"/>
    <w:rsid w:val="00F1449C"/>
    <w:rsid w:val="00F164C6"/>
    <w:rsid w:val="00F16766"/>
    <w:rsid w:val="00F1698E"/>
    <w:rsid w:val="00F16D26"/>
    <w:rsid w:val="00F16E29"/>
    <w:rsid w:val="00F17063"/>
    <w:rsid w:val="00F17E16"/>
    <w:rsid w:val="00F20198"/>
    <w:rsid w:val="00F20DED"/>
    <w:rsid w:val="00F20F20"/>
    <w:rsid w:val="00F24575"/>
    <w:rsid w:val="00F24710"/>
    <w:rsid w:val="00F25E0A"/>
    <w:rsid w:val="00F25F98"/>
    <w:rsid w:val="00F269C7"/>
    <w:rsid w:val="00F26A42"/>
    <w:rsid w:val="00F27827"/>
    <w:rsid w:val="00F3031E"/>
    <w:rsid w:val="00F30635"/>
    <w:rsid w:val="00F30C53"/>
    <w:rsid w:val="00F31229"/>
    <w:rsid w:val="00F31906"/>
    <w:rsid w:val="00F31BA7"/>
    <w:rsid w:val="00F31EA8"/>
    <w:rsid w:val="00F325FB"/>
    <w:rsid w:val="00F32F4C"/>
    <w:rsid w:val="00F3311A"/>
    <w:rsid w:val="00F33741"/>
    <w:rsid w:val="00F33DDF"/>
    <w:rsid w:val="00F3544B"/>
    <w:rsid w:val="00F35B34"/>
    <w:rsid w:val="00F35DC0"/>
    <w:rsid w:val="00F3616F"/>
    <w:rsid w:val="00F36F60"/>
    <w:rsid w:val="00F40100"/>
    <w:rsid w:val="00F40437"/>
    <w:rsid w:val="00F40E1E"/>
    <w:rsid w:val="00F41B8A"/>
    <w:rsid w:val="00F421D4"/>
    <w:rsid w:val="00F42AB2"/>
    <w:rsid w:val="00F42F09"/>
    <w:rsid w:val="00F4325A"/>
    <w:rsid w:val="00F43D13"/>
    <w:rsid w:val="00F43ED7"/>
    <w:rsid w:val="00F449C7"/>
    <w:rsid w:val="00F44B93"/>
    <w:rsid w:val="00F45492"/>
    <w:rsid w:val="00F46ABB"/>
    <w:rsid w:val="00F46C94"/>
    <w:rsid w:val="00F46D37"/>
    <w:rsid w:val="00F47355"/>
    <w:rsid w:val="00F47AE8"/>
    <w:rsid w:val="00F47DAD"/>
    <w:rsid w:val="00F50D75"/>
    <w:rsid w:val="00F5154D"/>
    <w:rsid w:val="00F51F4B"/>
    <w:rsid w:val="00F525F4"/>
    <w:rsid w:val="00F52996"/>
    <w:rsid w:val="00F53C2D"/>
    <w:rsid w:val="00F544DD"/>
    <w:rsid w:val="00F5465F"/>
    <w:rsid w:val="00F557C6"/>
    <w:rsid w:val="00F56813"/>
    <w:rsid w:val="00F5691B"/>
    <w:rsid w:val="00F56B91"/>
    <w:rsid w:val="00F56C37"/>
    <w:rsid w:val="00F56D40"/>
    <w:rsid w:val="00F572DE"/>
    <w:rsid w:val="00F572EC"/>
    <w:rsid w:val="00F5771A"/>
    <w:rsid w:val="00F57A7E"/>
    <w:rsid w:val="00F57ED9"/>
    <w:rsid w:val="00F60670"/>
    <w:rsid w:val="00F606E0"/>
    <w:rsid w:val="00F61334"/>
    <w:rsid w:val="00F61867"/>
    <w:rsid w:val="00F62CA8"/>
    <w:rsid w:val="00F62DD8"/>
    <w:rsid w:val="00F62F45"/>
    <w:rsid w:val="00F63113"/>
    <w:rsid w:val="00F649AD"/>
    <w:rsid w:val="00F65456"/>
    <w:rsid w:val="00F6570C"/>
    <w:rsid w:val="00F659D2"/>
    <w:rsid w:val="00F65EF2"/>
    <w:rsid w:val="00F65F7B"/>
    <w:rsid w:val="00F6613B"/>
    <w:rsid w:val="00F6685E"/>
    <w:rsid w:val="00F66A1E"/>
    <w:rsid w:val="00F66C8D"/>
    <w:rsid w:val="00F66EDB"/>
    <w:rsid w:val="00F67395"/>
    <w:rsid w:val="00F67C25"/>
    <w:rsid w:val="00F715C3"/>
    <w:rsid w:val="00F716D2"/>
    <w:rsid w:val="00F71D5A"/>
    <w:rsid w:val="00F722E2"/>
    <w:rsid w:val="00F72B3C"/>
    <w:rsid w:val="00F731DF"/>
    <w:rsid w:val="00F7337F"/>
    <w:rsid w:val="00F73C8C"/>
    <w:rsid w:val="00F73D81"/>
    <w:rsid w:val="00F741D3"/>
    <w:rsid w:val="00F74643"/>
    <w:rsid w:val="00F74D2A"/>
    <w:rsid w:val="00F7513F"/>
    <w:rsid w:val="00F75559"/>
    <w:rsid w:val="00F760F7"/>
    <w:rsid w:val="00F76EFC"/>
    <w:rsid w:val="00F7713A"/>
    <w:rsid w:val="00F77753"/>
    <w:rsid w:val="00F77BA8"/>
    <w:rsid w:val="00F8184B"/>
    <w:rsid w:val="00F81B48"/>
    <w:rsid w:val="00F8532A"/>
    <w:rsid w:val="00F854E6"/>
    <w:rsid w:val="00F862E6"/>
    <w:rsid w:val="00F866BF"/>
    <w:rsid w:val="00F869A6"/>
    <w:rsid w:val="00F87508"/>
    <w:rsid w:val="00F87AB1"/>
    <w:rsid w:val="00F90445"/>
    <w:rsid w:val="00F90773"/>
    <w:rsid w:val="00F90E5C"/>
    <w:rsid w:val="00F912B6"/>
    <w:rsid w:val="00F919F2"/>
    <w:rsid w:val="00F9295F"/>
    <w:rsid w:val="00F92AAB"/>
    <w:rsid w:val="00F93075"/>
    <w:rsid w:val="00F939A7"/>
    <w:rsid w:val="00F94258"/>
    <w:rsid w:val="00F9434F"/>
    <w:rsid w:val="00F947FC"/>
    <w:rsid w:val="00F94926"/>
    <w:rsid w:val="00F94A63"/>
    <w:rsid w:val="00F94BF6"/>
    <w:rsid w:val="00F95C6D"/>
    <w:rsid w:val="00F9754B"/>
    <w:rsid w:val="00F97561"/>
    <w:rsid w:val="00FA05B4"/>
    <w:rsid w:val="00FA2113"/>
    <w:rsid w:val="00FA2A4A"/>
    <w:rsid w:val="00FA2CC5"/>
    <w:rsid w:val="00FA2D42"/>
    <w:rsid w:val="00FA31E4"/>
    <w:rsid w:val="00FA40A0"/>
    <w:rsid w:val="00FA537F"/>
    <w:rsid w:val="00FA5730"/>
    <w:rsid w:val="00FA66FD"/>
    <w:rsid w:val="00FA7827"/>
    <w:rsid w:val="00FA7DA7"/>
    <w:rsid w:val="00FB0B2B"/>
    <w:rsid w:val="00FB1214"/>
    <w:rsid w:val="00FB128F"/>
    <w:rsid w:val="00FB160F"/>
    <w:rsid w:val="00FB1713"/>
    <w:rsid w:val="00FB1802"/>
    <w:rsid w:val="00FB1DB4"/>
    <w:rsid w:val="00FB2762"/>
    <w:rsid w:val="00FB3786"/>
    <w:rsid w:val="00FB38DC"/>
    <w:rsid w:val="00FB3E44"/>
    <w:rsid w:val="00FB3F4F"/>
    <w:rsid w:val="00FB52B3"/>
    <w:rsid w:val="00FB57DC"/>
    <w:rsid w:val="00FB58F6"/>
    <w:rsid w:val="00FB5A9F"/>
    <w:rsid w:val="00FB5C8F"/>
    <w:rsid w:val="00FB5F0E"/>
    <w:rsid w:val="00FB6E2E"/>
    <w:rsid w:val="00FB6F42"/>
    <w:rsid w:val="00FB73DC"/>
    <w:rsid w:val="00FB773A"/>
    <w:rsid w:val="00FC27E8"/>
    <w:rsid w:val="00FC2DC4"/>
    <w:rsid w:val="00FC3BAD"/>
    <w:rsid w:val="00FC3C38"/>
    <w:rsid w:val="00FC3CD7"/>
    <w:rsid w:val="00FC41F6"/>
    <w:rsid w:val="00FC43EA"/>
    <w:rsid w:val="00FC497D"/>
    <w:rsid w:val="00FC52C5"/>
    <w:rsid w:val="00FC5371"/>
    <w:rsid w:val="00FC61F5"/>
    <w:rsid w:val="00FC6202"/>
    <w:rsid w:val="00FC7955"/>
    <w:rsid w:val="00FD0894"/>
    <w:rsid w:val="00FD1CFD"/>
    <w:rsid w:val="00FD1D04"/>
    <w:rsid w:val="00FD1D6D"/>
    <w:rsid w:val="00FD1EB5"/>
    <w:rsid w:val="00FD2BD4"/>
    <w:rsid w:val="00FD3983"/>
    <w:rsid w:val="00FD4024"/>
    <w:rsid w:val="00FD442D"/>
    <w:rsid w:val="00FD4A82"/>
    <w:rsid w:val="00FD4B2A"/>
    <w:rsid w:val="00FD5283"/>
    <w:rsid w:val="00FD5E9E"/>
    <w:rsid w:val="00FD5ECF"/>
    <w:rsid w:val="00FD5FEE"/>
    <w:rsid w:val="00FD73FF"/>
    <w:rsid w:val="00FD7CAE"/>
    <w:rsid w:val="00FD7D05"/>
    <w:rsid w:val="00FE01C8"/>
    <w:rsid w:val="00FE02ED"/>
    <w:rsid w:val="00FE0B0D"/>
    <w:rsid w:val="00FE1785"/>
    <w:rsid w:val="00FE243E"/>
    <w:rsid w:val="00FE2F02"/>
    <w:rsid w:val="00FE38D6"/>
    <w:rsid w:val="00FE4929"/>
    <w:rsid w:val="00FE4A84"/>
    <w:rsid w:val="00FE55CD"/>
    <w:rsid w:val="00FE5D57"/>
    <w:rsid w:val="00FE5FD3"/>
    <w:rsid w:val="00FE6480"/>
    <w:rsid w:val="00FE6606"/>
    <w:rsid w:val="00FF0F08"/>
    <w:rsid w:val="00FF1BE3"/>
    <w:rsid w:val="00FF20F2"/>
    <w:rsid w:val="00FF33FA"/>
    <w:rsid w:val="00FF35A7"/>
    <w:rsid w:val="00FF4351"/>
    <w:rsid w:val="00FF44B0"/>
    <w:rsid w:val="00FF4AB0"/>
    <w:rsid w:val="00FF4EDB"/>
    <w:rsid w:val="00FF63B1"/>
    <w:rsid w:val="00FF645F"/>
    <w:rsid w:val="00FF6AA4"/>
    <w:rsid w:val="00FF6AD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51859"/>
  <w15:docId w15:val="{EB97B632-8075-46DD-B794-87261D3A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C80"/>
    <w:rPr>
      <w:sz w:val="24"/>
      <w:szCs w:val="24"/>
      <w:lang w:eastAsia="en-US"/>
    </w:rPr>
  </w:style>
  <w:style w:type="paragraph" w:styleId="Heading1">
    <w:name w:val="heading 1"/>
    <w:basedOn w:val="Normal"/>
    <w:next w:val="Normal"/>
    <w:link w:val="Heading1Char"/>
    <w:qFormat/>
    <w:rsid w:val="00830C80"/>
    <w:pPr>
      <w:keepNext/>
      <w:jc w:val="both"/>
      <w:outlineLvl w:val="0"/>
    </w:pPr>
    <w:rPr>
      <w:u w:val="single"/>
    </w:rPr>
  </w:style>
  <w:style w:type="paragraph" w:styleId="Heading2">
    <w:name w:val="heading 2"/>
    <w:basedOn w:val="Normal"/>
    <w:next w:val="Normal"/>
    <w:link w:val="Heading2Char"/>
    <w:qFormat/>
    <w:rsid w:val="00830C80"/>
    <w:pPr>
      <w:keepNext/>
      <w:jc w:val="both"/>
      <w:outlineLvl w:val="1"/>
    </w:pPr>
    <w:rPr>
      <w:b/>
      <w:bCs/>
    </w:rPr>
  </w:style>
  <w:style w:type="paragraph" w:styleId="Heading3">
    <w:name w:val="heading 3"/>
    <w:basedOn w:val="Normal"/>
    <w:next w:val="Normal"/>
    <w:link w:val="Heading3Char"/>
    <w:qFormat/>
    <w:rsid w:val="00830C80"/>
    <w:pPr>
      <w:keepNext/>
      <w:jc w:val="center"/>
      <w:outlineLvl w:val="2"/>
    </w:pPr>
    <w:rPr>
      <w:b/>
    </w:rPr>
  </w:style>
  <w:style w:type="paragraph" w:styleId="Heading4">
    <w:name w:val="heading 4"/>
    <w:basedOn w:val="Normal"/>
    <w:next w:val="Normal"/>
    <w:link w:val="Heading4Char"/>
    <w:qFormat/>
    <w:rsid w:val="00830C80"/>
    <w:pPr>
      <w:keepNext/>
      <w:jc w:val="both"/>
      <w:outlineLvl w:val="3"/>
    </w:pPr>
    <w:rPr>
      <w:b/>
      <w:bCs/>
      <w:sz w:val="22"/>
      <w:szCs w:val="20"/>
    </w:rPr>
  </w:style>
  <w:style w:type="paragraph" w:styleId="Heading5">
    <w:name w:val="heading 5"/>
    <w:basedOn w:val="Normal"/>
    <w:next w:val="Normal"/>
    <w:link w:val="Heading5Char"/>
    <w:qFormat/>
    <w:rsid w:val="00830C80"/>
    <w:pPr>
      <w:keepNext/>
      <w:jc w:val="center"/>
      <w:outlineLvl w:val="4"/>
    </w:pPr>
    <w:rPr>
      <w:rFonts w:ascii="Arial" w:hAnsi="Arial" w:cs="Arial"/>
      <w:b/>
      <w:bCs/>
      <w:sz w:val="18"/>
      <w:szCs w:val="20"/>
    </w:rPr>
  </w:style>
  <w:style w:type="paragraph" w:styleId="Heading6">
    <w:name w:val="heading 6"/>
    <w:basedOn w:val="Normal"/>
    <w:next w:val="Normal"/>
    <w:link w:val="Heading6Char"/>
    <w:qFormat/>
    <w:rsid w:val="00830C80"/>
    <w:pPr>
      <w:keepNext/>
      <w:jc w:val="both"/>
      <w:outlineLvl w:val="5"/>
    </w:pPr>
    <w:rPr>
      <w:rFonts w:ascii="Tahoma" w:hAnsi="Tahoma" w:cs="Tahoma"/>
      <w:b/>
      <w:bCs/>
      <w:sz w:val="22"/>
      <w:u w:val="single"/>
    </w:rPr>
  </w:style>
  <w:style w:type="paragraph" w:styleId="Heading7">
    <w:name w:val="heading 7"/>
    <w:basedOn w:val="Normal"/>
    <w:next w:val="Normal"/>
    <w:link w:val="Heading7Char"/>
    <w:qFormat/>
    <w:rsid w:val="00830C80"/>
    <w:pPr>
      <w:keepNext/>
      <w:jc w:val="both"/>
      <w:outlineLvl w:val="6"/>
    </w:pPr>
    <w:rPr>
      <w:rFonts w:ascii="Tahoma" w:hAnsi="Tahoma" w:cs="Tahoma"/>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0C80"/>
    <w:pPr>
      <w:jc w:val="both"/>
    </w:pPr>
  </w:style>
  <w:style w:type="paragraph" w:styleId="Header">
    <w:name w:val="header"/>
    <w:basedOn w:val="Normal"/>
    <w:link w:val="HeaderChar"/>
    <w:rsid w:val="00830C80"/>
    <w:pPr>
      <w:tabs>
        <w:tab w:val="center" w:pos="4536"/>
        <w:tab w:val="right" w:pos="9072"/>
      </w:tabs>
    </w:pPr>
  </w:style>
  <w:style w:type="character" w:styleId="PageNumber">
    <w:name w:val="page number"/>
    <w:basedOn w:val="DefaultParagraphFont"/>
    <w:rsid w:val="00830C80"/>
  </w:style>
  <w:style w:type="paragraph" w:styleId="Footer">
    <w:name w:val="footer"/>
    <w:basedOn w:val="Normal"/>
    <w:link w:val="FooterChar"/>
    <w:rsid w:val="00830C80"/>
    <w:pPr>
      <w:tabs>
        <w:tab w:val="center" w:pos="4536"/>
        <w:tab w:val="right" w:pos="9072"/>
      </w:tabs>
    </w:pPr>
  </w:style>
  <w:style w:type="paragraph" w:styleId="BodyTextIndent2">
    <w:name w:val="Body Text Indent 2"/>
    <w:basedOn w:val="Normal"/>
    <w:link w:val="BodyTextIndent2Char"/>
    <w:rsid w:val="00830C80"/>
    <w:pPr>
      <w:ind w:left="142" w:hanging="142"/>
    </w:pPr>
    <w:rPr>
      <w:szCs w:val="20"/>
    </w:rPr>
  </w:style>
  <w:style w:type="paragraph" w:styleId="BodyText2">
    <w:name w:val="Body Text 2"/>
    <w:basedOn w:val="Normal"/>
    <w:link w:val="BodyText2Char"/>
    <w:rsid w:val="00830C80"/>
    <w:pPr>
      <w:jc w:val="both"/>
    </w:pPr>
    <w:rPr>
      <w:sz w:val="22"/>
      <w:szCs w:val="20"/>
    </w:rPr>
  </w:style>
  <w:style w:type="paragraph" w:styleId="BodyText3">
    <w:name w:val="Body Text 3"/>
    <w:basedOn w:val="Normal"/>
    <w:link w:val="BodyText3Char"/>
    <w:rsid w:val="00830C80"/>
    <w:pPr>
      <w:jc w:val="both"/>
    </w:pPr>
    <w:rPr>
      <w:b/>
      <w:bCs/>
      <w:sz w:val="22"/>
      <w:szCs w:val="20"/>
    </w:rPr>
  </w:style>
  <w:style w:type="paragraph" w:styleId="BalloonText">
    <w:name w:val="Balloon Text"/>
    <w:basedOn w:val="Normal"/>
    <w:link w:val="BalloonTextChar"/>
    <w:semiHidden/>
    <w:rsid w:val="00830C80"/>
    <w:rPr>
      <w:rFonts w:ascii="Tahoma" w:hAnsi="Tahoma" w:cs="Tahoma"/>
      <w:sz w:val="16"/>
      <w:szCs w:val="16"/>
    </w:rPr>
  </w:style>
  <w:style w:type="paragraph" w:styleId="BodyTextIndent">
    <w:name w:val="Body Text Indent"/>
    <w:basedOn w:val="Normal"/>
    <w:link w:val="BodyTextIndentChar"/>
    <w:rsid w:val="009A1E55"/>
    <w:pPr>
      <w:spacing w:after="120"/>
      <w:ind w:left="283"/>
    </w:pPr>
  </w:style>
  <w:style w:type="paragraph" w:customStyle="1" w:styleId="Uvlaka">
    <w:name w:val="Uvlaka"/>
    <w:basedOn w:val="Normal"/>
    <w:rsid w:val="00736117"/>
    <w:pPr>
      <w:widowControl w:val="0"/>
      <w:tabs>
        <w:tab w:val="num" w:pos="720"/>
        <w:tab w:val="left" w:pos="851"/>
      </w:tabs>
      <w:suppressAutoHyphens/>
      <w:ind w:left="-2214"/>
    </w:pPr>
    <w:rPr>
      <w:rFonts w:eastAsia="Arial Unicode MS"/>
      <w:szCs w:val="20"/>
    </w:rPr>
  </w:style>
  <w:style w:type="character" w:customStyle="1" w:styleId="FooterChar">
    <w:name w:val="Footer Char"/>
    <w:basedOn w:val="DefaultParagraphFont"/>
    <w:link w:val="Footer"/>
    <w:locked/>
    <w:rsid w:val="007004E9"/>
    <w:rPr>
      <w:sz w:val="24"/>
      <w:szCs w:val="24"/>
      <w:lang w:val="hr-HR" w:eastAsia="en-US" w:bidi="ar-SA"/>
    </w:rPr>
  </w:style>
  <w:style w:type="paragraph" w:customStyle="1" w:styleId="t-9-8">
    <w:name w:val="t-9-8"/>
    <w:basedOn w:val="Normal"/>
    <w:rsid w:val="00AA4AC4"/>
    <w:pPr>
      <w:spacing w:before="100" w:beforeAutospacing="1" w:after="100" w:afterAutospacing="1"/>
    </w:pPr>
    <w:rPr>
      <w:lang w:eastAsia="hr-HR"/>
    </w:rPr>
  </w:style>
  <w:style w:type="paragraph" w:styleId="ListParagraph">
    <w:name w:val="List Paragraph"/>
    <w:basedOn w:val="Normal"/>
    <w:uiPriority w:val="34"/>
    <w:qFormat/>
    <w:rsid w:val="00DB66FD"/>
    <w:pPr>
      <w:ind w:left="720"/>
      <w:contextualSpacing/>
    </w:pPr>
  </w:style>
  <w:style w:type="paragraph" w:customStyle="1" w:styleId="Glavnitekst">
    <w:name w:val="Glavni tekst"/>
    <w:basedOn w:val="Normal"/>
    <w:link w:val="GlavnitekstChar"/>
    <w:rsid w:val="00A6187D"/>
    <w:pPr>
      <w:spacing w:before="120" w:line="360" w:lineRule="auto"/>
      <w:ind w:firstLine="720"/>
      <w:jc w:val="both"/>
    </w:pPr>
  </w:style>
  <w:style w:type="character" w:customStyle="1" w:styleId="GlavnitekstChar">
    <w:name w:val="Glavni tekst Char"/>
    <w:basedOn w:val="DefaultParagraphFont"/>
    <w:link w:val="Glavnitekst"/>
    <w:rsid w:val="00A6187D"/>
    <w:rPr>
      <w:sz w:val="24"/>
      <w:szCs w:val="24"/>
      <w:lang w:eastAsia="en-US"/>
    </w:rPr>
  </w:style>
  <w:style w:type="paragraph" w:customStyle="1" w:styleId="Body1">
    <w:name w:val="Body 1"/>
    <w:basedOn w:val="Normal"/>
    <w:rsid w:val="00A713B8"/>
    <w:rPr>
      <w:rFonts w:ascii="Helvetica" w:eastAsiaTheme="minorHAnsi" w:hAnsi="Helvetica" w:cs="Helvetica"/>
      <w:color w:val="000000"/>
      <w:sz w:val="22"/>
      <w:szCs w:val="22"/>
      <w:lang w:eastAsia="hr-HR"/>
    </w:rPr>
  </w:style>
  <w:style w:type="paragraph" w:styleId="NoSpacing">
    <w:name w:val="No Spacing"/>
    <w:uiPriority w:val="1"/>
    <w:qFormat/>
    <w:rsid w:val="00A713B8"/>
    <w:rPr>
      <w:rFonts w:ascii="Calibri" w:eastAsiaTheme="minorHAnsi" w:hAnsi="Calibri"/>
      <w:sz w:val="22"/>
      <w:szCs w:val="22"/>
    </w:rPr>
  </w:style>
  <w:style w:type="character" w:customStyle="1" w:styleId="Heading2Char">
    <w:name w:val="Heading 2 Char"/>
    <w:basedOn w:val="DefaultParagraphFont"/>
    <w:link w:val="Heading2"/>
    <w:rsid w:val="00BD711A"/>
    <w:rPr>
      <w:b/>
      <w:bCs/>
      <w:sz w:val="24"/>
      <w:szCs w:val="24"/>
      <w:lang w:eastAsia="en-US"/>
    </w:rPr>
  </w:style>
  <w:style w:type="character" w:customStyle="1" w:styleId="BodyText2Char">
    <w:name w:val="Body Text 2 Char"/>
    <w:basedOn w:val="DefaultParagraphFont"/>
    <w:link w:val="BodyText2"/>
    <w:rsid w:val="00BD711A"/>
    <w:rPr>
      <w:sz w:val="22"/>
      <w:lang w:eastAsia="en-US"/>
    </w:rPr>
  </w:style>
  <w:style w:type="character" w:customStyle="1" w:styleId="BalloonTextChar">
    <w:name w:val="Balloon Text Char"/>
    <w:basedOn w:val="DefaultParagraphFont"/>
    <w:link w:val="BalloonText"/>
    <w:semiHidden/>
    <w:rsid w:val="000B4F90"/>
    <w:rPr>
      <w:rFonts w:ascii="Tahoma" w:hAnsi="Tahoma" w:cs="Tahoma"/>
      <w:sz w:val="16"/>
      <w:szCs w:val="16"/>
      <w:lang w:eastAsia="en-US"/>
    </w:rPr>
  </w:style>
  <w:style w:type="table" w:styleId="TableGrid">
    <w:name w:val="Table Grid"/>
    <w:basedOn w:val="TableNormal"/>
    <w:rsid w:val="00FC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43D13"/>
    <w:rPr>
      <w:rFonts w:ascii="Consolas" w:eastAsia="Calibri" w:hAnsi="Consolas"/>
      <w:sz w:val="21"/>
      <w:szCs w:val="21"/>
    </w:rPr>
  </w:style>
  <w:style w:type="character" w:customStyle="1" w:styleId="PlainTextChar">
    <w:name w:val="Plain Text Char"/>
    <w:basedOn w:val="DefaultParagraphFont"/>
    <w:link w:val="PlainText"/>
    <w:uiPriority w:val="99"/>
    <w:rsid w:val="00F43D13"/>
    <w:rPr>
      <w:rFonts w:ascii="Consolas" w:eastAsia="Calibri" w:hAnsi="Consolas"/>
      <w:sz w:val="21"/>
      <w:szCs w:val="21"/>
      <w:lang w:eastAsia="en-US"/>
    </w:rPr>
  </w:style>
  <w:style w:type="character" w:styleId="Strong">
    <w:name w:val="Strong"/>
    <w:basedOn w:val="DefaultParagraphFont"/>
    <w:uiPriority w:val="22"/>
    <w:qFormat/>
    <w:rsid w:val="00866E4F"/>
    <w:rPr>
      <w:b/>
      <w:bCs/>
    </w:rPr>
  </w:style>
  <w:style w:type="character" w:customStyle="1" w:styleId="Heading3Char">
    <w:name w:val="Heading 3 Char"/>
    <w:basedOn w:val="DefaultParagraphFont"/>
    <w:link w:val="Heading3"/>
    <w:rsid w:val="00C71993"/>
    <w:rPr>
      <w:b/>
      <w:sz w:val="24"/>
      <w:szCs w:val="24"/>
      <w:lang w:eastAsia="en-US"/>
    </w:rPr>
  </w:style>
  <w:style w:type="paragraph" w:customStyle="1" w:styleId="box459263">
    <w:name w:val="box_459263"/>
    <w:basedOn w:val="Normal"/>
    <w:rsid w:val="007B76E1"/>
    <w:pPr>
      <w:spacing w:before="100" w:beforeAutospacing="1" w:after="100" w:afterAutospacing="1"/>
    </w:pPr>
    <w:rPr>
      <w:lang w:eastAsia="hr-HR"/>
    </w:rPr>
  </w:style>
  <w:style w:type="character" w:styleId="CommentReference">
    <w:name w:val="annotation reference"/>
    <w:basedOn w:val="DefaultParagraphFont"/>
    <w:semiHidden/>
    <w:unhideWhenUsed/>
    <w:rsid w:val="00B53E57"/>
    <w:rPr>
      <w:sz w:val="16"/>
      <w:szCs w:val="16"/>
    </w:rPr>
  </w:style>
  <w:style w:type="paragraph" w:styleId="CommentText">
    <w:name w:val="annotation text"/>
    <w:basedOn w:val="Normal"/>
    <w:link w:val="CommentTextChar"/>
    <w:uiPriority w:val="99"/>
    <w:semiHidden/>
    <w:unhideWhenUsed/>
    <w:rsid w:val="00B53E57"/>
    <w:rPr>
      <w:sz w:val="20"/>
      <w:szCs w:val="20"/>
    </w:rPr>
  </w:style>
  <w:style w:type="character" w:customStyle="1" w:styleId="CommentTextChar">
    <w:name w:val="Comment Text Char"/>
    <w:basedOn w:val="DefaultParagraphFont"/>
    <w:link w:val="CommentText"/>
    <w:uiPriority w:val="99"/>
    <w:semiHidden/>
    <w:rsid w:val="00B53E57"/>
    <w:rPr>
      <w:lang w:eastAsia="en-US"/>
    </w:rPr>
  </w:style>
  <w:style w:type="paragraph" w:styleId="CommentSubject">
    <w:name w:val="annotation subject"/>
    <w:basedOn w:val="CommentText"/>
    <w:next w:val="CommentText"/>
    <w:link w:val="CommentSubjectChar"/>
    <w:semiHidden/>
    <w:unhideWhenUsed/>
    <w:rsid w:val="00B53E57"/>
    <w:rPr>
      <w:b/>
      <w:bCs/>
    </w:rPr>
  </w:style>
  <w:style w:type="character" w:customStyle="1" w:styleId="CommentSubjectChar">
    <w:name w:val="Comment Subject Char"/>
    <w:basedOn w:val="CommentTextChar"/>
    <w:link w:val="CommentSubject"/>
    <w:semiHidden/>
    <w:rsid w:val="00B53E57"/>
    <w:rPr>
      <w:b/>
      <w:bCs/>
      <w:lang w:eastAsia="en-US"/>
    </w:rPr>
  </w:style>
  <w:style w:type="paragraph" w:styleId="EndnoteText">
    <w:name w:val="endnote text"/>
    <w:basedOn w:val="Normal"/>
    <w:link w:val="EndnoteTextChar"/>
    <w:semiHidden/>
    <w:unhideWhenUsed/>
    <w:rsid w:val="00DE1B02"/>
    <w:rPr>
      <w:sz w:val="20"/>
      <w:szCs w:val="20"/>
    </w:rPr>
  </w:style>
  <w:style w:type="character" w:customStyle="1" w:styleId="EndnoteTextChar">
    <w:name w:val="Endnote Text Char"/>
    <w:basedOn w:val="DefaultParagraphFont"/>
    <w:link w:val="EndnoteText"/>
    <w:semiHidden/>
    <w:rsid w:val="00DE1B02"/>
    <w:rPr>
      <w:lang w:eastAsia="en-US"/>
    </w:rPr>
  </w:style>
  <w:style w:type="character" w:styleId="EndnoteReference">
    <w:name w:val="endnote reference"/>
    <w:basedOn w:val="DefaultParagraphFont"/>
    <w:semiHidden/>
    <w:unhideWhenUsed/>
    <w:rsid w:val="00DE1B02"/>
    <w:rPr>
      <w:vertAlign w:val="superscript"/>
    </w:rPr>
  </w:style>
  <w:style w:type="character" w:customStyle="1" w:styleId="HeaderChar">
    <w:name w:val="Header Char"/>
    <w:basedOn w:val="DefaultParagraphFont"/>
    <w:link w:val="Header"/>
    <w:rsid w:val="001621B4"/>
    <w:rPr>
      <w:sz w:val="24"/>
      <w:szCs w:val="24"/>
      <w:lang w:eastAsia="en-US"/>
    </w:rPr>
  </w:style>
  <w:style w:type="character" w:customStyle="1" w:styleId="Heading1Char">
    <w:name w:val="Heading 1 Char"/>
    <w:basedOn w:val="DefaultParagraphFont"/>
    <w:link w:val="Heading1"/>
    <w:rsid w:val="001621B4"/>
    <w:rPr>
      <w:sz w:val="24"/>
      <w:szCs w:val="24"/>
      <w:u w:val="single"/>
      <w:lang w:eastAsia="en-US"/>
    </w:rPr>
  </w:style>
  <w:style w:type="character" w:customStyle="1" w:styleId="Heading4Char">
    <w:name w:val="Heading 4 Char"/>
    <w:basedOn w:val="DefaultParagraphFont"/>
    <w:link w:val="Heading4"/>
    <w:rsid w:val="001621B4"/>
    <w:rPr>
      <w:b/>
      <w:bCs/>
      <w:sz w:val="22"/>
      <w:lang w:eastAsia="en-US"/>
    </w:rPr>
  </w:style>
  <w:style w:type="character" w:customStyle="1" w:styleId="Heading5Char">
    <w:name w:val="Heading 5 Char"/>
    <w:basedOn w:val="DefaultParagraphFont"/>
    <w:link w:val="Heading5"/>
    <w:rsid w:val="001621B4"/>
    <w:rPr>
      <w:rFonts w:ascii="Arial" w:hAnsi="Arial" w:cs="Arial"/>
      <w:b/>
      <w:bCs/>
      <w:sz w:val="18"/>
      <w:lang w:eastAsia="en-US"/>
    </w:rPr>
  </w:style>
  <w:style w:type="character" w:customStyle="1" w:styleId="Heading6Char">
    <w:name w:val="Heading 6 Char"/>
    <w:basedOn w:val="DefaultParagraphFont"/>
    <w:link w:val="Heading6"/>
    <w:rsid w:val="001621B4"/>
    <w:rPr>
      <w:rFonts w:ascii="Tahoma" w:hAnsi="Tahoma" w:cs="Tahoma"/>
      <w:b/>
      <w:bCs/>
      <w:sz w:val="22"/>
      <w:szCs w:val="24"/>
      <w:u w:val="single"/>
      <w:lang w:eastAsia="en-US"/>
    </w:rPr>
  </w:style>
  <w:style w:type="character" w:customStyle="1" w:styleId="Heading7Char">
    <w:name w:val="Heading 7 Char"/>
    <w:basedOn w:val="DefaultParagraphFont"/>
    <w:link w:val="Heading7"/>
    <w:rsid w:val="001621B4"/>
    <w:rPr>
      <w:rFonts w:ascii="Tahoma" w:hAnsi="Tahoma" w:cs="Tahoma"/>
      <w:sz w:val="22"/>
      <w:szCs w:val="24"/>
      <w:u w:val="single"/>
      <w:lang w:eastAsia="en-US"/>
    </w:rPr>
  </w:style>
  <w:style w:type="character" w:customStyle="1" w:styleId="BodyTextChar">
    <w:name w:val="Body Text Char"/>
    <w:basedOn w:val="DefaultParagraphFont"/>
    <w:link w:val="BodyText"/>
    <w:rsid w:val="001621B4"/>
    <w:rPr>
      <w:sz w:val="24"/>
      <w:szCs w:val="24"/>
      <w:lang w:eastAsia="en-US"/>
    </w:rPr>
  </w:style>
  <w:style w:type="character" w:customStyle="1" w:styleId="BodyTextIndent2Char">
    <w:name w:val="Body Text Indent 2 Char"/>
    <w:basedOn w:val="DefaultParagraphFont"/>
    <w:link w:val="BodyTextIndent2"/>
    <w:rsid w:val="001621B4"/>
    <w:rPr>
      <w:sz w:val="24"/>
      <w:lang w:eastAsia="en-US"/>
    </w:rPr>
  </w:style>
  <w:style w:type="character" w:customStyle="1" w:styleId="BodyText3Char">
    <w:name w:val="Body Text 3 Char"/>
    <w:basedOn w:val="DefaultParagraphFont"/>
    <w:link w:val="BodyText3"/>
    <w:rsid w:val="001621B4"/>
    <w:rPr>
      <w:b/>
      <w:bCs/>
      <w:sz w:val="22"/>
      <w:lang w:eastAsia="en-US"/>
    </w:rPr>
  </w:style>
  <w:style w:type="character" w:customStyle="1" w:styleId="BodyTextIndentChar">
    <w:name w:val="Body Text Indent Char"/>
    <w:basedOn w:val="DefaultParagraphFont"/>
    <w:link w:val="BodyTextIndent"/>
    <w:rsid w:val="001621B4"/>
    <w:rPr>
      <w:sz w:val="24"/>
      <w:szCs w:val="24"/>
      <w:lang w:eastAsia="en-US"/>
    </w:rPr>
  </w:style>
  <w:style w:type="table" w:styleId="TableGridLight">
    <w:name w:val="Grid Table Light"/>
    <w:basedOn w:val="TableNormal"/>
    <w:uiPriority w:val="40"/>
    <w:rsid w:val="00235F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semiHidden/>
    <w:unhideWhenUsed/>
    <w:rsid w:val="0045641C"/>
    <w:rPr>
      <w:color w:val="0563C1"/>
      <w:u w:val="single"/>
    </w:rPr>
  </w:style>
  <w:style w:type="character" w:styleId="FollowedHyperlink">
    <w:name w:val="FollowedHyperlink"/>
    <w:basedOn w:val="DefaultParagraphFont"/>
    <w:uiPriority w:val="99"/>
    <w:semiHidden/>
    <w:unhideWhenUsed/>
    <w:rsid w:val="0045641C"/>
    <w:rPr>
      <w:color w:val="954F72"/>
      <w:u w:val="single"/>
    </w:rPr>
  </w:style>
  <w:style w:type="paragraph" w:customStyle="1" w:styleId="msonormal0">
    <w:name w:val="msonormal"/>
    <w:basedOn w:val="Normal"/>
    <w:rsid w:val="0045641C"/>
    <w:pPr>
      <w:spacing w:before="100" w:beforeAutospacing="1" w:after="100" w:afterAutospacing="1"/>
    </w:pPr>
    <w:rPr>
      <w:lang w:eastAsia="hr-HR"/>
    </w:rPr>
  </w:style>
  <w:style w:type="paragraph" w:customStyle="1" w:styleId="font5">
    <w:name w:val="font5"/>
    <w:basedOn w:val="Normal"/>
    <w:rsid w:val="0045641C"/>
    <w:pPr>
      <w:spacing w:before="100" w:beforeAutospacing="1" w:after="100" w:afterAutospacing="1"/>
    </w:pPr>
    <w:rPr>
      <w:rFonts w:ascii="Calibri" w:hAnsi="Calibri" w:cs="Calibri"/>
      <w:b/>
      <w:bCs/>
      <w:sz w:val="22"/>
      <w:szCs w:val="22"/>
      <w:lang w:eastAsia="hr-HR"/>
    </w:rPr>
  </w:style>
  <w:style w:type="paragraph" w:customStyle="1" w:styleId="xl65">
    <w:name w:val="xl65"/>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hr-HR"/>
    </w:rPr>
  </w:style>
  <w:style w:type="paragraph" w:customStyle="1" w:styleId="xl66">
    <w:name w:val="xl66"/>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hr-HR"/>
    </w:rPr>
  </w:style>
  <w:style w:type="paragraph" w:customStyle="1" w:styleId="xl67">
    <w:name w:val="xl67"/>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hr-HR"/>
    </w:rPr>
  </w:style>
  <w:style w:type="paragraph" w:customStyle="1" w:styleId="xl68">
    <w:name w:val="xl68"/>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hr-HR"/>
    </w:rPr>
  </w:style>
  <w:style w:type="paragraph" w:customStyle="1" w:styleId="xl69">
    <w:name w:val="xl69"/>
    <w:basedOn w:val="Normal"/>
    <w:rsid w:val="0045641C"/>
    <w:pPr>
      <w:spacing w:before="100" w:beforeAutospacing="1" w:after="100" w:afterAutospacing="1"/>
      <w:jc w:val="right"/>
    </w:pPr>
    <w:rPr>
      <w:lang w:eastAsia="hr-HR"/>
    </w:rPr>
  </w:style>
  <w:style w:type="paragraph" w:customStyle="1" w:styleId="xl70">
    <w:name w:val="xl70"/>
    <w:basedOn w:val="Normal"/>
    <w:rsid w:val="0045641C"/>
    <w:pPr>
      <w:spacing w:before="100" w:beforeAutospacing="1" w:after="100" w:afterAutospacing="1"/>
    </w:pPr>
    <w:rPr>
      <w:b/>
      <w:bCs/>
      <w:lang w:eastAsia="hr-HR"/>
    </w:rPr>
  </w:style>
  <w:style w:type="paragraph" w:customStyle="1" w:styleId="xl71">
    <w:name w:val="xl71"/>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hr-HR"/>
    </w:rPr>
  </w:style>
  <w:style w:type="paragraph" w:customStyle="1" w:styleId="xl72">
    <w:name w:val="xl72"/>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hr-HR"/>
    </w:rPr>
  </w:style>
  <w:style w:type="paragraph" w:customStyle="1" w:styleId="xl73">
    <w:name w:val="xl73"/>
    <w:basedOn w:val="Normal"/>
    <w:rsid w:val="0045641C"/>
    <w:pPr>
      <w:spacing w:before="100" w:beforeAutospacing="1" w:after="100" w:afterAutospacing="1"/>
      <w:jc w:val="right"/>
    </w:pPr>
    <w:rPr>
      <w:b/>
      <w:bCs/>
      <w:lang w:eastAsia="hr-HR"/>
    </w:rPr>
  </w:style>
  <w:style w:type="paragraph" w:customStyle="1" w:styleId="xl74">
    <w:name w:val="xl74"/>
    <w:basedOn w:val="Normal"/>
    <w:rsid w:val="0045641C"/>
    <w:pPr>
      <w:spacing w:before="100" w:beforeAutospacing="1" w:after="100" w:afterAutospacing="1"/>
    </w:pPr>
    <w:rPr>
      <w:lang w:eastAsia="hr-HR"/>
    </w:rPr>
  </w:style>
  <w:style w:type="paragraph" w:customStyle="1" w:styleId="xl75">
    <w:name w:val="xl75"/>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rPr>
  </w:style>
  <w:style w:type="paragraph" w:customStyle="1" w:styleId="xl76">
    <w:name w:val="xl76"/>
    <w:basedOn w:val="Normal"/>
    <w:rsid w:val="0045641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rPr>
  </w:style>
  <w:style w:type="paragraph" w:customStyle="1" w:styleId="xl77">
    <w:name w:val="xl77"/>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eastAsia="hr-HR"/>
    </w:rPr>
  </w:style>
  <w:style w:type="paragraph" w:customStyle="1" w:styleId="xl78">
    <w:name w:val="xl78"/>
    <w:basedOn w:val="Normal"/>
    <w:rsid w:val="0045641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rPr>
  </w:style>
  <w:style w:type="paragraph" w:customStyle="1" w:styleId="xl79">
    <w:name w:val="xl79"/>
    <w:basedOn w:val="Normal"/>
    <w:rsid w:val="0045641C"/>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sz w:val="20"/>
      <w:szCs w:val="20"/>
      <w:lang w:eastAsia="hr-HR"/>
    </w:rPr>
  </w:style>
  <w:style w:type="paragraph" w:customStyle="1" w:styleId="xl80">
    <w:name w:val="xl80"/>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rPr>
  </w:style>
  <w:style w:type="paragraph" w:customStyle="1" w:styleId="xl81">
    <w:name w:val="xl81"/>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rPr>
  </w:style>
  <w:style w:type="paragraph" w:customStyle="1" w:styleId="xl82">
    <w:name w:val="xl82"/>
    <w:basedOn w:val="Normal"/>
    <w:rsid w:val="0045641C"/>
    <w:pPr>
      <w:pBdr>
        <w:top w:val="single" w:sz="4" w:space="0" w:color="auto"/>
        <w:left w:val="single" w:sz="4" w:space="0" w:color="auto"/>
        <w:right w:val="single" w:sz="4" w:space="0" w:color="auto"/>
      </w:pBdr>
      <w:spacing w:before="100" w:beforeAutospacing="1" w:after="100" w:afterAutospacing="1"/>
      <w:textAlignment w:val="top"/>
    </w:pPr>
    <w:rPr>
      <w:lang w:eastAsia="hr-HR"/>
    </w:rPr>
  </w:style>
  <w:style w:type="paragraph" w:customStyle="1" w:styleId="xl83">
    <w:name w:val="xl83"/>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84">
    <w:name w:val="xl84"/>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85">
    <w:name w:val="xl85"/>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u w:val="single"/>
      <w:lang w:eastAsia="hr-HR"/>
    </w:rPr>
  </w:style>
  <w:style w:type="paragraph" w:customStyle="1" w:styleId="xl86">
    <w:name w:val="xl86"/>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eastAsia="hr-HR"/>
    </w:rPr>
  </w:style>
  <w:style w:type="paragraph" w:customStyle="1" w:styleId="xl87">
    <w:name w:val="xl87"/>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rPr>
  </w:style>
  <w:style w:type="paragraph" w:customStyle="1" w:styleId="xl88">
    <w:name w:val="xl88"/>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hr-HR"/>
    </w:rPr>
  </w:style>
  <w:style w:type="paragraph" w:customStyle="1" w:styleId="xl89">
    <w:name w:val="xl89"/>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hr-HR"/>
    </w:rPr>
  </w:style>
  <w:style w:type="paragraph" w:customStyle="1" w:styleId="xl90">
    <w:name w:val="xl90"/>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hr-HR"/>
    </w:rPr>
  </w:style>
  <w:style w:type="paragraph" w:customStyle="1" w:styleId="xl91">
    <w:name w:val="xl91"/>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hr-HR"/>
    </w:rPr>
  </w:style>
  <w:style w:type="paragraph" w:customStyle="1" w:styleId="xl92">
    <w:name w:val="xl92"/>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pPr>
    <w:rPr>
      <w:lang w:eastAsia="hr-HR"/>
    </w:rPr>
  </w:style>
  <w:style w:type="paragraph" w:customStyle="1" w:styleId="xl93">
    <w:name w:val="xl93"/>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94">
    <w:name w:val="xl94"/>
    <w:basedOn w:val="Normal"/>
    <w:rsid w:val="0045641C"/>
    <w:pPr>
      <w:pBdr>
        <w:top w:val="single" w:sz="4" w:space="0" w:color="auto"/>
        <w:left w:val="single" w:sz="4" w:space="0" w:color="auto"/>
        <w:bottom w:val="single" w:sz="4" w:space="0" w:color="auto"/>
      </w:pBdr>
      <w:spacing w:before="100" w:beforeAutospacing="1" w:after="100" w:afterAutospacing="1"/>
      <w:jc w:val="center"/>
      <w:textAlignment w:val="center"/>
    </w:pPr>
    <w:rPr>
      <w:lang w:eastAsia="hr-HR"/>
    </w:rPr>
  </w:style>
  <w:style w:type="paragraph" w:customStyle="1" w:styleId="xl95">
    <w:name w:val="xl95"/>
    <w:basedOn w:val="Normal"/>
    <w:rsid w:val="0045641C"/>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hr-HR"/>
    </w:rPr>
  </w:style>
  <w:style w:type="paragraph" w:customStyle="1" w:styleId="xl96">
    <w:name w:val="xl96"/>
    <w:basedOn w:val="Normal"/>
    <w:rsid w:val="0045641C"/>
    <w:pPr>
      <w:spacing w:before="100" w:beforeAutospacing="1" w:after="100" w:afterAutospacing="1"/>
      <w:jc w:val="center"/>
      <w:textAlignment w:val="center"/>
    </w:pPr>
    <w:rPr>
      <w:rFonts w:ascii="Arial" w:hAnsi="Arial" w:cs="Arial"/>
      <w:sz w:val="20"/>
      <w:szCs w:val="20"/>
      <w:lang w:eastAsia="hr-HR"/>
    </w:rPr>
  </w:style>
  <w:style w:type="paragraph" w:customStyle="1" w:styleId="xl97">
    <w:name w:val="xl97"/>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hr-HR"/>
    </w:rPr>
  </w:style>
  <w:style w:type="paragraph" w:customStyle="1" w:styleId="xl98">
    <w:name w:val="xl98"/>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hr-HR"/>
    </w:rPr>
  </w:style>
  <w:style w:type="paragraph" w:customStyle="1" w:styleId="xl99">
    <w:name w:val="xl99"/>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hr-HR"/>
    </w:rPr>
  </w:style>
  <w:style w:type="paragraph" w:customStyle="1" w:styleId="xl100">
    <w:name w:val="xl100"/>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hr-HR"/>
    </w:rPr>
  </w:style>
  <w:style w:type="paragraph" w:customStyle="1" w:styleId="xl101">
    <w:name w:val="xl101"/>
    <w:basedOn w:val="Normal"/>
    <w:rsid w:val="004564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hr-HR"/>
    </w:rPr>
  </w:style>
  <w:style w:type="paragraph" w:customStyle="1" w:styleId="xl102">
    <w:name w:val="xl102"/>
    <w:basedOn w:val="Normal"/>
    <w:rsid w:val="0045641C"/>
    <w:pPr>
      <w:pBdr>
        <w:top w:val="single" w:sz="4" w:space="0" w:color="auto"/>
        <w:left w:val="single" w:sz="4" w:space="0" w:color="auto"/>
        <w:bottom w:val="single" w:sz="4" w:space="0" w:color="auto"/>
      </w:pBdr>
      <w:spacing w:before="100" w:beforeAutospacing="1" w:after="100" w:afterAutospacing="1"/>
      <w:jc w:val="center"/>
    </w:pPr>
    <w:rPr>
      <w:b/>
      <w:bCs/>
      <w:lang w:eastAsia="hr-HR"/>
    </w:rPr>
  </w:style>
  <w:style w:type="paragraph" w:customStyle="1" w:styleId="xl103">
    <w:name w:val="xl103"/>
    <w:basedOn w:val="Normal"/>
    <w:rsid w:val="0045641C"/>
    <w:pPr>
      <w:pBdr>
        <w:top w:val="single" w:sz="4" w:space="0" w:color="auto"/>
        <w:bottom w:val="single" w:sz="4" w:space="0" w:color="auto"/>
        <w:right w:val="single" w:sz="4" w:space="0" w:color="auto"/>
      </w:pBdr>
      <w:spacing w:before="100" w:beforeAutospacing="1" w:after="100" w:afterAutospacing="1"/>
      <w:jc w:val="center"/>
    </w:pPr>
    <w:rPr>
      <w:b/>
      <w:bCs/>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06">
      <w:bodyDiv w:val="1"/>
      <w:marLeft w:val="0"/>
      <w:marRight w:val="0"/>
      <w:marTop w:val="0"/>
      <w:marBottom w:val="0"/>
      <w:divBdr>
        <w:top w:val="none" w:sz="0" w:space="0" w:color="auto"/>
        <w:left w:val="none" w:sz="0" w:space="0" w:color="auto"/>
        <w:bottom w:val="none" w:sz="0" w:space="0" w:color="auto"/>
        <w:right w:val="none" w:sz="0" w:space="0" w:color="auto"/>
      </w:divBdr>
    </w:div>
    <w:div w:id="14812167">
      <w:bodyDiv w:val="1"/>
      <w:marLeft w:val="0"/>
      <w:marRight w:val="0"/>
      <w:marTop w:val="0"/>
      <w:marBottom w:val="0"/>
      <w:divBdr>
        <w:top w:val="none" w:sz="0" w:space="0" w:color="auto"/>
        <w:left w:val="none" w:sz="0" w:space="0" w:color="auto"/>
        <w:bottom w:val="none" w:sz="0" w:space="0" w:color="auto"/>
        <w:right w:val="none" w:sz="0" w:space="0" w:color="auto"/>
      </w:divBdr>
    </w:div>
    <w:div w:id="19556202">
      <w:bodyDiv w:val="1"/>
      <w:marLeft w:val="0"/>
      <w:marRight w:val="0"/>
      <w:marTop w:val="0"/>
      <w:marBottom w:val="0"/>
      <w:divBdr>
        <w:top w:val="none" w:sz="0" w:space="0" w:color="auto"/>
        <w:left w:val="none" w:sz="0" w:space="0" w:color="auto"/>
        <w:bottom w:val="none" w:sz="0" w:space="0" w:color="auto"/>
        <w:right w:val="none" w:sz="0" w:space="0" w:color="auto"/>
      </w:divBdr>
    </w:div>
    <w:div w:id="25258346">
      <w:bodyDiv w:val="1"/>
      <w:marLeft w:val="0"/>
      <w:marRight w:val="0"/>
      <w:marTop w:val="0"/>
      <w:marBottom w:val="0"/>
      <w:divBdr>
        <w:top w:val="none" w:sz="0" w:space="0" w:color="auto"/>
        <w:left w:val="none" w:sz="0" w:space="0" w:color="auto"/>
        <w:bottom w:val="none" w:sz="0" w:space="0" w:color="auto"/>
        <w:right w:val="none" w:sz="0" w:space="0" w:color="auto"/>
      </w:divBdr>
    </w:div>
    <w:div w:id="42679075">
      <w:bodyDiv w:val="1"/>
      <w:marLeft w:val="0"/>
      <w:marRight w:val="0"/>
      <w:marTop w:val="0"/>
      <w:marBottom w:val="0"/>
      <w:divBdr>
        <w:top w:val="none" w:sz="0" w:space="0" w:color="auto"/>
        <w:left w:val="none" w:sz="0" w:space="0" w:color="auto"/>
        <w:bottom w:val="none" w:sz="0" w:space="0" w:color="auto"/>
        <w:right w:val="none" w:sz="0" w:space="0" w:color="auto"/>
      </w:divBdr>
    </w:div>
    <w:div w:id="62263334">
      <w:bodyDiv w:val="1"/>
      <w:marLeft w:val="0"/>
      <w:marRight w:val="0"/>
      <w:marTop w:val="0"/>
      <w:marBottom w:val="0"/>
      <w:divBdr>
        <w:top w:val="none" w:sz="0" w:space="0" w:color="auto"/>
        <w:left w:val="none" w:sz="0" w:space="0" w:color="auto"/>
        <w:bottom w:val="none" w:sz="0" w:space="0" w:color="auto"/>
        <w:right w:val="none" w:sz="0" w:space="0" w:color="auto"/>
      </w:divBdr>
    </w:div>
    <w:div w:id="89355094">
      <w:bodyDiv w:val="1"/>
      <w:marLeft w:val="0"/>
      <w:marRight w:val="0"/>
      <w:marTop w:val="0"/>
      <w:marBottom w:val="0"/>
      <w:divBdr>
        <w:top w:val="none" w:sz="0" w:space="0" w:color="auto"/>
        <w:left w:val="none" w:sz="0" w:space="0" w:color="auto"/>
        <w:bottom w:val="none" w:sz="0" w:space="0" w:color="auto"/>
        <w:right w:val="none" w:sz="0" w:space="0" w:color="auto"/>
      </w:divBdr>
    </w:div>
    <w:div w:id="98066801">
      <w:bodyDiv w:val="1"/>
      <w:marLeft w:val="0"/>
      <w:marRight w:val="0"/>
      <w:marTop w:val="0"/>
      <w:marBottom w:val="0"/>
      <w:divBdr>
        <w:top w:val="none" w:sz="0" w:space="0" w:color="auto"/>
        <w:left w:val="none" w:sz="0" w:space="0" w:color="auto"/>
        <w:bottom w:val="none" w:sz="0" w:space="0" w:color="auto"/>
        <w:right w:val="none" w:sz="0" w:space="0" w:color="auto"/>
      </w:divBdr>
    </w:div>
    <w:div w:id="133332829">
      <w:bodyDiv w:val="1"/>
      <w:marLeft w:val="0"/>
      <w:marRight w:val="0"/>
      <w:marTop w:val="0"/>
      <w:marBottom w:val="0"/>
      <w:divBdr>
        <w:top w:val="none" w:sz="0" w:space="0" w:color="auto"/>
        <w:left w:val="none" w:sz="0" w:space="0" w:color="auto"/>
        <w:bottom w:val="none" w:sz="0" w:space="0" w:color="auto"/>
        <w:right w:val="none" w:sz="0" w:space="0" w:color="auto"/>
      </w:divBdr>
    </w:div>
    <w:div w:id="138764676">
      <w:bodyDiv w:val="1"/>
      <w:marLeft w:val="0"/>
      <w:marRight w:val="0"/>
      <w:marTop w:val="0"/>
      <w:marBottom w:val="0"/>
      <w:divBdr>
        <w:top w:val="none" w:sz="0" w:space="0" w:color="auto"/>
        <w:left w:val="none" w:sz="0" w:space="0" w:color="auto"/>
        <w:bottom w:val="none" w:sz="0" w:space="0" w:color="auto"/>
        <w:right w:val="none" w:sz="0" w:space="0" w:color="auto"/>
      </w:divBdr>
    </w:div>
    <w:div w:id="155465070">
      <w:bodyDiv w:val="1"/>
      <w:marLeft w:val="0"/>
      <w:marRight w:val="0"/>
      <w:marTop w:val="0"/>
      <w:marBottom w:val="0"/>
      <w:divBdr>
        <w:top w:val="none" w:sz="0" w:space="0" w:color="auto"/>
        <w:left w:val="none" w:sz="0" w:space="0" w:color="auto"/>
        <w:bottom w:val="none" w:sz="0" w:space="0" w:color="auto"/>
        <w:right w:val="none" w:sz="0" w:space="0" w:color="auto"/>
      </w:divBdr>
    </w:div>
    <w:div w:id="162162826">
      <w:bodyDiv w:val="1"/>
      <w:marLeft w:val="0"/>
      <w:marRight w:val="0"/>
      <w:marTop w:val="0"/>
      <w:marBottom w:val="0"/>
      <w:divBdr>
        <w:top w:val="none" w:sz="0" w:space="0" w:color="auto"/>
        <w:left w:val="none" w:sz="0" w:space="0" w:color="auto"/>
        <w:bottom w:val="none" w:sz="0" w:space="0" w:color="auto"/>
        <w:right w:val="none" w:sz="0" w:space="0" w:color="auto"/>
      </w:divBdr>
    </w:div>
    <w:div w:id="173082968">
      <w:bodyDiv w:val="1"/>
      <w:marLeft w:val="0"/>
      <w:marRight w:val="0"/>
      <w:marTop w:val="0"/>
      <w:marBottom w:val="0"/>
      <w:divBdr>
        <w:top w:val="none" w:sz="0" w:space="0" w:color="auto"/>
        <w:left w:val="none" w:sz="0" w:space="0" w:color="auto"/>
        <w:bottom w:val="none" w:sz="0" w:space="0" w:color="auto"/>
        <w:right w:val="none" w:sz="0" w:space="0" w:color="auto"/>
      </w:divBdr>
    </w:div>
    <w:div w:id="190412879">
      <w:bodyDiv w:val="1"/>
      <w:marLeft w:val="0"/>
      <w:marRight w:val="0"/>
      <w:marTop w:val="0"/>
      <w:marBottom w:val="0"/>
      <w:divBdr>
        <w:top w:val="none" w:sz="0" w:space="0" w:color="auto"/>
        <w:left w:val="none" w:sz="0" w:space="0" w:color="auto"/>
        <w:bottom w:val="none" w:sz="0" w:space="0" w:color="auto"/>
        <w:right w:val="none" w:sz="0" w:space="0" w:color="auto"/>
      </w:divBdr>
    </w:div>
    <w:div w:id="196239539">
      <w:bodyDiv w:val="1"/>
      <w:marLeft w:val="0"/>
      <w:marRight w:val="0"/>
      <w:marTop w:val="0"/>
      <w:marBottom w:val="0"/>
      <w:divBdr>
        <w:top w:val="none" w:sz="0" w:space="0" w:color="auto"/>
        <w:left w:val="none" w:sz="0" w:space="0" w:color="auto"/>
        <w:bottom w:val="none" w:sz="0" w:space="0" w:color="auto"/>
        <w:right w:val="none" w:sz="0" w:space="0" w:color="auto"/>
      </w:divBdr>
    </w:div>
    <w:div w:id="202442481">
      <w:bodyDiv w:val="1"/>
      <w:marLeft w:val="0"/>
      <w:marRight w:val="0"/>
      <w:marTop w:val="0"/>
      <w:marBottom w:val="0"/>
      <w:divBdr>
        <w:top w:val="none" w:sz="0" w:space="0" w:color="auto"/>
        <w:left w:val="none" w:sz="0" w:space="0" w:color="auto"/>
        <w:bottom w:val="none" w:sz="0" w:space="0" w:color="auto"/>
        <w:right w:val="none" w:sz="0" w:space="0" w:color="auto"/>
      </w:divBdr>
    </w:div>
    <w:div w:id="205028964">
      <w:bodyDiv w:val="1"/>
      <w:marLeft w:val="0"/>
      <w:marRight w:val="0"/>
      <w:marTop w:val="0"/>
      <w:marBottom w:val="0"/>
      <w:divBdr>
        <w:top w:val="none" w:sz="0" w:space="0" w:color="auto"/>
        <w:left w:val="none" w:sz="0" w:space="0" w:color="auto"/>
        <w:bottom w:val="none" w:sz="0" w:space="0" w:color="auto"/>
        <w:right w:val="none" w:sz="0" w:space="0" w:color="auto"/>
      </w:divBdr>
    </w:div>
    <w:div w:id="217976460">
      <w:bodyDiv w:val="1"/>
      <w:marLeft w:val="0"/>
      <w:marRight w:val="0"/>
      <w:marTop w:val="0"/>
      <w:marBottom w:val="0"/>
      <w:divBdr>
        <w:top w:val="none" w:sz="0" w:space="0" w:color="auto"/>
        <w:left w:val="none" w:sz="0" w:space="0" w:color="auto"/>
        <w:bottom w:val="none" w:sz="0" w:space="0" w:color="auto"/>
        <w:right w:val="none" w:sz="0" w:space="0" w:color="auto"/>
      </w:divBdr>
    </w:div>
    <w:div w:id="248078118">
      <w:bodyDiv w:val="1"/>
      <w:marLeft w:val="0"/>
      <w:marRight w:val="0"/>
      <w:marTop w:val="0"/>
      <w:marBottom w:val="0"/>
      <w:divBdr>
        <w:top w:val="none" w:sz="0" w:space="0" w:color="auto"/>
        <w:left w:val="none" w:sz="0" w:space="0" w:color="auto"/>
        <w:bottom w:val="none" w:sz="0" w:space="0" w:color="auto"/>
        <w:right w:val="none" w:sz="0" w:space="0" w:color="auto"/>
      </w:divBdr>
    </w:div>
    <w:div w:id="250359804">
      <w:bodyDiv w:val="1"/>
      <w:marLeft w:val="0"/>
      <w:marRight w:val="0"/>
      <w:marTop w:val="0"/>
      <w:marBottom w:val="0"/>
      <w:divBdr>
        <w:top w:val="none" w:sz="0" w:space="0" w:color="auto"/>
        <w:left w:val="none" w:sz="0" w:space="0" w:color="auto"/>
        <w:bottom w:val="none" w:sz="0" w:space="0" w:color="auto"/>
        <w:right w:val="none" w:sz="0" w:space="0" w:color="auto"/>
      </w:divBdr>
    </w:div>
    <w:div w:id="252477345">
      <w:bodyDiv w:val="1"/>
      <w:marLeft w:val="0"/>
      <w:marRight w:val="0"/>
      <w:marTop w:val="0"/>
      <w:marBottom w:val="0"/>
      <w:divBdr>
        <w:top w:val="none" w:sz="0" w:space="0" w:color="auto"/>
        <w:left w:val="none" w:sz="0" w:space="0" w:color="auto"/>
        <w:bottom w:val="none" w:sz="0" w:space="0" w:color="auto"/>
        <w:right w:val="none" w:sz="0" w:space="0" w:color="auto"/>
      </w:divBdr>
    </w:div>
    <w:div w:id="256064517">
      <w:bodyDiv w:val="1"/>
      <w:marLeft w:val="0"/>
      <w:marRight w:val="0"/>
      <w:marTop w:val="0"/>
      <w:marBottom w:val="0"/>
      <w:divBdr>
        <w:top w:val="none" w:sz="0" w:space="0" w:color="auto"/>
        <w:left w:val="none" w:sz="0" w:space="0" w:color="auto"/>
        <w:bottom w:val="none" w:sz="0" w:space="0" w:color="auto"/>
        <w:right w:val="none" w:sz="0" w:space="0" w:color="auto"/>
      </w:divBdr>
    </w:div>
    <w:div w:id="274823497">
      <w:bodyDiv w:val="1"/>
      <w:marLeft w:val="0"/>
      <w:marRight w:val="0"/>
      <w:marTop w:val="0"/>
      <w:marBottom w:val="0"/>
      <w:divBdr>
        <w:top w:val="none" w:sz="0" w:space="0" w:color="auto"/>
        <w:left w:val="none" w:sz="0" w:space="0" w:color="auto"/>
        <w:bottom w:val="none" w:sz="0" w:space="0" w:color="auto"/>
        <w:right w:val="none" w:sz="0" w:space="0" w:color="auto"/>
      </w:divBdr>
    </w:div>
    <w:div w:id="310213456">
      <w:bodyDiv w:val="1"/>
      <w:marLeft w:val="0"/>
      <w:marRight w:val="0"/>
      <w:marTop w:val="0"/>
      <w:marBottom w:val="0"/>
      <w:divBdr>
        <w:top w:val="none" w:sz="0" w:space="0" w:color="auto"/>
        <w:left w:val="none" w:sz="0" w:space="0" w:color="auto"/>
        <w:bottom w:val="none" w:sz="0" w:space="0" w:color="auto"/>
        <w:right w:val="none" w:sz="0" w:space="0" w:color="auto"/>
      </w:divBdr>
    </w:div>
    <w:div w:id="322314621">
      <w:bodyDiv w:val="1"/>
      <w:marLeft w:val="0"/>
      <w:marRight w:val="0"/>
      <w:marTop w:val="0"/>
      <w:marBottom w:val="0"/>
      <w:divBdr>
        <w:top w:val="none" w:sz="0" w:space="0" w:color="auto"/>
        <w:left w:val="none" w:sz="0" w:space="0" w:color="auto"/>
        <w:bottom w:val="none" w:sz="0" w:space="0" w:color="auto"/>
        <w:right w:val="none" w:sz="0" w:space="0" w:color="auto"/>
      </w:divBdr>
    </w:div>
    <w:div w:id="339770773">
      <w:bodyDiv w:val="1"/>
      <w:marLeft w:val="0"/>
      <w:marRight w:val="0"/>
      <w:marTop w:val="0"/>
      <w:marBottom w:val="0"/>
      <w:divBdr>
        <w:top w:val="none" w:sz="0" w:space="0" w:color="auto"/>
        <w:left w:val="none" w:sz="0" w:space="0" w:color="auto"/>
        <w:bottom w:val="none" w:sz="0" w:space="0" w:color="auto"/>
        <w:right w:val="none" w:sz="0" w:space="0" w:color="auto"/>
      </w:divBdr>
    </w:div>
    <w:div w:id="346519459">
      <w:bodyDiv w:val="1"/>
      <w:marLeft w:val="0"/>
      <w:marRight w:val="0"/>
      <w:marTop w:val="0"/>
      <w:marBottom w:val="0"/>
      <w:divBdr>
        <w:top w:val="none" w:sz="0" w:space="0" w:color="auto"/>
        <w:left w:val="none" w:sz="0" w:space="0" w:color="auto"/>
        <w:bottom w:val="none" w:sz="0" w:space="0" w:color="auto"/>
        <w:right w:val="none" w:sz="0" w:space="0" w:color="auto"/>
      </w:divBdr>
    </w:div>
    <w:div w:id="354815331">
      <w:bodyDiv w:val="1"/>
      <w:marLeft w:val="0"/>
      <w:marRight w:val="0"/>
      <w:marTop w:val="0"/>
      <w:marBottom w:val="0"/>
      <w:divBdr>
        <w:top w:val="none" w:sz="0" w:space="0" w:color="auto"/>
        <w:left w:val="none" w:sz="0" w:space="0" w:color="auto"/>
        <w:bottom w:val="none" w:sz="0" w:space="0" w:color="auto"/>
        <w:right w:val="none" w:sz="0" w:space="0" w:color="auto"/>
      </w:divBdr>
    </w:div>
    <w:div w:id="386026648">
      <w:bodyDiv w:val="1"/>
      <w:marLeft w:val="0"/>
      <w:marRight w:val="0"/>
      <w:marTop w:val="0"/>
      <w:marBottom w:val="0"/>
      <w:divBdr>
        <w:top w:val="none" w:sz="0" w:space="0" w:color="auto"/>
        <w:left w:val="none" w:sz="0" w:space="0" w:color="auto"/>
        <w:bottom w:val="none" w:sz="0" w:space="0" w:color="auto"/>
        <w:right w:val="none" w:sz="0" w:space="0" w:color="auto"/>
      </w:divBdr>
    </w:div>
    <w:div w:id="386759931">
      <w:bodyDiv w:val="1"/>
      <w:marLeft w:val="0"/>
      <w:marRight w:val="0"/>
      <w:marTop w:val="0"/>
      <w:marBottom w:val="0"/>
      <w:divBdr>
        <w:top w:val="none" w:sz="0" w:space="0" w:color="auto"/>
        <w:left w:val="none" w:sz="0" w:space="0" w:color="auto"/>
        <w:bottom w:val="none" w:sz="0" w:space="0" w:color="auto"/>
        <w:right w:val="none" w:sz="0" w:space="0" w:color="auto"/>
      </w:divBdr>
    </w:div>
    <w:div w:id="388186151">
      <w:bodyDiv w:val="1"/>
      <w:marLeft w:val="0"/>
      <w:marRight w:val="0"/>
      <w:marTop w:val="0"/>
      <w:marBottom w:val="0"/>
      <w:divBdr>
        <w:top w:val="none" w:sz="0" w:space="0" w:color="auto"/>
        <w:left w:val="none" w:sz="0" w:space="0" w:color="auto"/>
        <w:bottom w:val="none" w:sz="0" w:space="0" w:color="auto"/>
        <w:right w:val="none" w:sz="0" w:space="0" w:color="auto"/>
      </w:divBdr>
    </w:div>
    <w:div w:id="430666496">
      <w:bodyDiv w:val="1"/>
      <w:marLeft w:val="0"/>
      <w:marRight w:val="0"/>
      <w:marTop w:val="0"/>
      <w:marBottom w:val="0"/>
      <w:divBdr>
        <w:top w:val="none" w:sz="0" w:space="0" w:color="auto"/>
        <w:left w:val="none" w:sz="0" w:space="0" w:color="auto"/>
        <w:bottom w:val="none" w:sz="0" w:space="0" w:color="auto"/>
        <w:right w:val="none" w:sz="0" w:space="0" w:color="auto"/>
      </w:divBdr>
    </w:div>
    <w:div w:id="431828094">
      <w:bodyDiv w:val="1"/>
      <w:marLeft w:val="0"/>
      <w:marRight w:val="0"/>
      <w:marTop w:val="0"/>
      <w:marBottom w:val="0"/>
      <w:divBdr>
        <w:top w:val="none" w:sz="0" w:space="0" w:color="auto"/>
        <w:left w:val="none" w:sz="0" w:space="0" w:color="auto"/>
        <w:bottom w:val="none" w:sz="0" w:space="0" w:color="auto"/>
        <w:right w:val="none" w:sz="0" w:space="0" w:color="auto"/>
      </w:divBdr>
    </w:div>
    <w:div w:id="43536624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53065316">
      <w:bodyDiv w:val="1"/>
      <w:marLeft w:val="0"/>
      <w:marRight w:val="0"/>
      <w:marTop w:val="0"/>
      <w:marBottom w:val="0"/>
      <w:divBdr>
        <w:top w:val="none" w:sz="0" w:space="0" w:color="auto"/>
        <w:left w:val="none" w:sz="0" w:space="0" w:color="auto"/>
        <w:bottom w:val="none" w:sz="0" w:space="0" w:color="auto"/>
        <w:right w:val="none" w:sz="0" w:space="0" w:color="auto"/>
      </w:divBdr>
    </w:div>
    <w:div w:id="478689855">
      <w:bodyDiv w:val="1"/>
      <w:marLeft w:val="0"/>
      <w:marRight w:val="0"/>
      <w:marTop w:val="0"/>
      <w:marBottom w:val="0"/>
      <w:divBdr>
        <w:top w:val="none" w:sz="0" w:space="0" w:color="auto"/>
        <w:left w:val="none" w:sz="0" w:space="0" w:color="auto"/>
        <w:bottom w:val="none" w:sz="0" w:space="0" w:color="auto"/>
        <w:right w:val="none" w:sz="0" w:space="0" w:color="auto"/>
      </w:divBdr>
    </w:div>
    <w:div w:id="480191748">
      <w:bodyDiv w:val="1"/>
      <w:marLeft w:val="0"/>
      <w:marRight w:val="0"/>
      <w:marTop w:val="0"/>
      <w:marBottom w:val="0"/>
      <w:divBdr>
        <w:top w:val="none" w:sz="0" w:space="0" w:color="auto"/>
        <w:left w:val="none" w:sz="0" w:space="0" w:color="auto"/>
        <w:bottom w:val="none" w:sz="0" w:space="0" w:color="auto"/>
        <w:right w:val="none" w:sz="0" w:space="0" w:color="auto"/>
      </w:divBdr>
    </w:div>
    <w:div w:id="497429949">
      <w:bodyDiv w:val="1"/>
      <w:marLeft w:val="0"/>
      <w:marRight w:val="0"/>
      <w:marTop w:val="0"/>
      <w:marBottom w:val="0"/>
      <w:divBdr>
        <w:top w:val="none" w:sz="0" w:space="0" w:color="auto"/>
        <w:left w:val="none" w:sz="0" w:space="0" w:color="auto"/>
        <w:bottom w:val="none" w:sz="0" w:space="0" w:color="auto"/>
        <w:right w:val="none" w:sz="0" w:space="0" w:color="auto"/>
      </w:divBdr>
    </w:div>
    <w:div w:id="498741630">
      <w:bodyDiv w:val="1"/>
      <w:marLeft w:val="0"/>
      <w:marRight w:val="0"/>
      <w:marTop w:val="0"/>
      <w:marBottom w:val="0"/>
      <w:divBdr>
        <w:top w:val="none" w:sz="0" w:space="0" w:color="auto"/>
        <w:left w:val="none" w:sz="0" w:space="0" w:color="auto"/>
        <w:bottom w:val="none" w:sz="0" w:space="0" w:color="auto"/>
        <w:right w:val="none" w:sz="0" w:space="0" w:color="auto"/>
      </w:divBdr>
    </w:div>
    <w:div w:id="510291289">
      <w:bodyDiv w:val="1"/>
      <w:marLeft w:val="0"/>
      <w:marRight w:val="0"/>
      <w:marTop w:val="0"/>
      <w:marBottom w:val="0"/>
      <w:divBdr>
        <w:top w:val="none" w:sz="0" w:space="0" w:color="auto"/>
        <w:left w:val="none" w:sz="0" w:space="0" w:color="auto"/>
        <w:bottom w:val="none" w:sz="0" w:space="0" w:color="auto"/>
        <w:right w:val="none" w:sz="0" w:space="0" w:color="auto"/>
      </w:divBdr>
    </w:div>
    <w:div w:id="515966807">
      <w:bodyDiv w:val="1"/>
      <w:marLeft w:val="0"/>
      <w:marRight w:val="0"/>
      <w:marTop w:val="0"/>
      <w:marBottom w:val="0"/>
      <w:divBdr>
        <w:top w:val="none" w:sz="0" w:space="0" w:color="auto"/>
        <w:left w:val="none" w:sz="0" w:space="0" w:color="auto"/>
        <w:bottom w:val="none" w:sz="0" w:space="0" w:color="auto"/>
        <w:right w:val="none" w:sz="0" w:space="0" w:color="auto"/>
      </w:divBdr>
    </w:div>
    <w:div w:id="521944296">
      <w:bodyDiv w:val="1"/>
      <w:marLeft w:val="0"/>
      <w:marRight w:val="0"/>
      <w:marTop w:val="0"/>
      <w:marBottom w:val="0"/>
      <w:divBdr>
        <w:top w:val="none" w:sz="0" w:space="0" w:color="auto"/>
        <w:left w:val="none" w:sz="0" w:space="0" w:color="auto"/>
        <w:bottom w:val="none" w:sz="0" w:space="0" w:color="auto"/>
        <w:right w:val="none" w:sz="0" w:space="0" w:color="auto"/>
      </w:divBdr>
    </w:div>
    <w:div w:id="561453456">
      <w:bodyDiv w:val="1"/>
      <w:marLeft w:val="0"/>
      <w:marRight w:val="0"/>
      <w:marTop w:val="0"/>
      <w:marBottom w:val="0"/>
      <w:divBdr>
        <w:top w:val="none" w:sz="0" w:space="0" w:color="auto"/>
        <w:left w:val="none" w:sz="0" w:space="0" w:color="auto"/>
        <w:bottom w:val="none" w:sz="0" w:space="0" w:color="auto"/>
        <w:right w:val="none" w:sz="0" w:space="0" w:color="auto"/>
      </w:divBdr>
    </w:div>
    <w:div w:id="563487583">
      <w:bodyDiv w:val="1"/>
      <w:marLeft w:val="0"/>
      <w:marRight w:val="0"/>
      <w:marTop w:val="0"/>
      <w:marBottom w:val="0"/>
      <w:divBdr>
        <w:top w:val="none" w:sz="0" w:space="0" w:color="auto"/>
        <w:left w:val="none" w:sz="0" w:space="0" w:color="auto"/>
        <w:bottom w:val="none" w:sz="0" w:space="0" w:color="auto"/>
        <w:right w:val="none" w:sz="0" w:space="0" w:color="auto"/>
      </w:divBdr>
    </w:div>
    <w:div w:id="570234817">
      <w:bodyDiv w:val="1"/>
      <w:marLeft w:val="0"/>
      <w:marRight w:val="0"/>
      <w:marTop w:val="0"/>
      <w:marBottom w:val="0"/>
      <w:divBdr>
        <w:top w:val="none" w:sz="0" w:space="0" w:color="auto"/>
        <w:left w:val="none" w:sz="0" w:space="0" w:color="auto"/>
        <w:bottom w:val="none" w:sz="0" w:space="0" w:color="auto"/>
        <w:right w:val="none" w:sz="0" w:space="0" w:color="auto"/>
      </w:divBdr>
    </w:div>
    <w:div w:id="584919013">
      <w:bodyDiv w:val="1"/>
      <w:marLeft w:val="0"/>
      <w:marRight w:val="0"/>
      <w:marTop w:val="0"/>
      <w:marBottom w:val="0"/>
      <w:divBdr>
        <w:top w:val="none" w:sz="0" w:space="0" w:color="auto"/>
        <w:left w:val="none" w:sz="0" w:space="0" w:color="auto"/>
        <w:bottom w:val="none" w:sz="0" w:space="0" w:color="auto"/>
        <w:right w:val="none" w:sz="0" w:space="0" w:color="auto"/>
      </w:divBdr>
    </w:div>
    <w:div w:id="592981071">
      <w:bodyDiv w:val="1"/>
      <w:marLeft w:val="0"/>
      <w:marRight w:val="0"/>
      <w:marTop w:val="0"/>
      <w:marBottom w:val="0"/>
      <w:divBdr>
        <w:top w:val="none" w:sz="0" w:space="0" w:color="auto"/>
        <w:left w:val="none" w:sz="0" w:space="0" w:color="auto"/>
        <w:bottom w:val="none" w:sz="0" w:space="0" w:color="auto"/>
        <w:right w:val="none" w:sz="0" w:space="0" w:color="auto"/>
      </w:divBdr>
    </w:div>
    <w:div w:id="598028651">
      <w:bodyDiv w:val="1"/>
      <w:marLeft w:val="0"/>
      <w:marRight w:val="0"/>
      <w:marTop w:val="0"/>
      <w:marBottom w:val="0"/>
      <w:divBdr>
        <w:top w:val="none" w:sz="0" w:space="0" w:color="auto"/>
        <w:left w:val="none" w:sz="0" w:space="0" w:color="auto"/>
        <w:bottom w:val="none" w:sz="0" w:space="0" w:color="auto"/>
        <w:right w:val="none" w:sz="0" w:space="0" w:color="auto"/>
      </w:divBdr>
    </w:div>
    <w:div w:id="639504163">
      <w:bodyDiv w:val="1"/>
      <w:marLeft w:val="0"/>
      <w:marRight w:val="0"/>
      <w:marTop w:val="0"/>
      <w:marBottom w:val="0"/>
      <w:divBdr>
        <w:top w:val="none" w:sz="0" w:space="0" w:color="auto"/>
        <w:left w:val="none" w:sz="0" w:space="0" w:color="auto"/>
        <w:bottom w:val="none" w:sz="0" w:space="0" w:color="auto"/>
        <w:right w:val="none" w:sz="0" w:space="0" w:color="auto"/>
      </w:divBdr>
    </w:div>
    <w:div w:id="643629293">
      <w:bodyDiv w:val="1"/>
      <w:marLeft w:val="0"/>
      <w:marRight w:val="0"/>
      <w:marTop w:val="0"/>
      <w:marBottom w:val="0"/>
      <w:divBdr>
        <w:top w:val="none" w:sz="0" w:space="0" w:color="auto"/>
        <w:left w:val="none" w:sz="0" w:space="0" w:color="auto"/>
        <w:bottom w:val="none" w:sz="0" w:space="0" w:color="auto"/>
        <w:right w:val="none" w:sz="0" w:space="0" w:color="auto"/>
      </w:divBdr>
    </w:div>
    <w:div w:id="644162290">
      <w:bodyDiv w:val="1"/>
      <w:marLeft w:val="0"/>
      <w:marRight w:val="0"/>
      <w:marTop w:val="0"/>
      <w:marBottom w:val="0"/>
      <w:divBdr>
        <w:top w:val="none" w:sz="0" w:space="0" w:color="auto"/>
        <w:left w:val="none" w:sz="0" w:space="0" w:color="auto"/>
        <w:bottom w:val="none" w:sz="0" w:space="0" w:color="auto"/>
        <w:right w:val="none" w:sz="0" w:space="0" w:color="auto"/>
      </w:divBdr>
    </w:div>
    <w:div w:id="665010398">
      <w:bodyDiv w:val="1"/>
      <w:marLeft w:val="0"/>
      <w:marRight w:val="0"/>
      <w:marTop w:val="0"/>
      <w:marBottom w:val="0"/>
      <w:divBdr>
        <w:top w:val="none" w:sz="0" w:space="0" w:color="auto"/>
        <w:left w:val="none" w:sz="0" w:space="0" w:color="auto"/>
        <w:bottom w:val="none" w:sz="0" w:space="0" w:color="auto"/>
        <w:right w:val="none" w:sz="0" w:space="0" w:color="auto"/>
      </w:divBdr>
    </w:div>
    <w:div w:id="665934440">
      <w:bodyDiv w:val="1"/>
      <w:marLeft w:val="0"/>
      <w:marRight w:val="0"/>
      <w:marTop w:val="0"/>
      <w:marBottom w:val="0"/>
      <w:divBdr>
        <w:top w:val="none" w:sz="0" w:space="0" w:color="auto"/>
        <w:left w:val="none" w:sz="0" w:space="0" w:color="auto"/>
        <w:bottom w:val="none" w:sz="0" w:space="0" w:color="auto"/>
        <w:right w:val="none" w:sz="0" w:space="0" w:color="auto"/>
      </w:divBdr>
    </w:div>
    <w:div w:id="680547867">
      <w:bodyDiv w:val="1"/>
      <w:marLeft w:val="0"/>
      <w:marRight w:val="0"/>
      <w:marTop w:val="0"/>
      <w:marBottom w:val="0"/>
      <w:divBdr>
        <w:top w:val="none" w:sz="0" w:space="0" w:color="auto"/>
        <w:left w:val="none" w:sz="0" w:space="0" w:color="auto"/>
        <w:bottom w:val="none" w:sz="0" w:space="0" w:color="auto"/>
        <w:right w:val="none" w:sz="0" w:space="0" w:color="auto"/>
      </w:divBdr>
    </w:div>
    <w:div w:id="690689101">
      <w:bodyDiv w:val="1"/>
      <w:marLeft w:val="0"/>
      <w:marRight w:val="0"/>
      <w:marTop w:val="0"/>
      <w:marBottom w:val="0"/>
      <w:divBdr>
        <w:top w:val="none" w:sz="0" w:space="0" w:color="auto"/>
        <w:left w:val="none" w:sz="0" w:space="0" w:color="auto"/>
        <w:bottom w:val="none" w:sz="0" w:space="0" w:color="auto"/>
        <w:right w:val="none" w:sz="0" w:space="0" w:color="auto"/>
      </w:divBdr>
    </w:div>
    <w:div w:id="696471752">
      <w:bodyDiv w:val="1"/>
      <w:marLeft w:val="0"/>
      <w:marRight w:val="0"/>
      <w:marTop w:val="0"/>
      <w:marBottom w:val="0"/>
      <w:divBdr>
        <w:top w:val="none" w:sz="0" w:space="0" w:color="auto"/>
        <w:left w:val="none" w:sz="0" w:space="0" w:color="auto"/>
        <w:bottom w:val="none" w:sz="0" w:space="0" w:color="auto"/>
        <w:right w:val="none" w:sz="0" w:space="0" w:color="auto"/>
      </w:divBdr>
    </w:div>
    <w:div w:id="714158999">
      <w:bodyDiv w:val="1"/>
      <w:marLeft w:val="0"/>
      <w:marRight w:val="0"/>
      <w:marTop w:val="0"/>
      <w:marBottom w:val="0"/>
      <w:divBdr>
        <w:top w:val="none" w:sz="0" w:space="0" w:color="auto"/>
        <w:left w:val="none" w:sz="0" w:space="0" w:color="auto"/>
        <w:bottom w:val="none" w:sz="0" w:space="0" w:color="auto"/>
        <w:right w:val="none" w:sz="0" w:space="0" w:color="auto"/>
      </w:divBdr>
    </w:div>
    <w:div w:id="728309240">
      <w:bodyDiv w:val="1"/>
      <w:marLeft w:val="0"/>
      <w:marRight w:val="0"/>
      <w:marTop w:val="0"/>
      <w:marBottom w:val="0"/>
      <w:divBdr>
        <w:top w:val="none" w:sz="0" w:space="0" w:color="auto"/>
        <w:left w:val="none" w:sz="0" w:space="0" w:color="auto"/>
        <w:bottom w:val="none" w:sz="0" w:space="0" w:color="auto"/>
        <w:right w:val="none" w:sz="0" w:space="0" w:color="auto"/>
      </w:divBdr>
    </w:div>
    <w:div w:id="734546729">
      <w:bodyDiv w:val="1"/>
      <w:marLeft w:val="0"/>
      <w:marRight w:val="0"/>
      <w:marTop w:val="0"/>
      <w:marBottom w:val="0"/>
      <w:divBdr>
        <w:top w:val="none" w:sz="0" w:space="0" w:color="auto"/>
        <w:left w:val="none" w:sz="0" w:space="0" w:color="auto"/>
        <w:bottom w:val="none" w:sz="0" w:space="0" w:color="auto"/>
        <w:right w:val="none" w:sz="0" w:space="0" w:color="auto"/>
      </w:divBdr>
    </w:div>
    <w:div w:id="751775066">
      <w:bodyDiv w:val="1"/>
      <w:marLeft w:val="0"/>
      <w:marRight w:val="0"/>
      <w:marTop w:val="0"/>
      <w:marBottom w:val="0"/>
      <w:divBdr>
        <w:top w:val="none" w:sz="0" w:space="0" w:color="auto"/>
        <w:left w:val="none" w:sz="0" w:space="0" w:color="auto"/>
        <w:bottom w:val="none" w:sz="0" w:space="0" w:color="auto"/>
        <w:right w:val="none" w:sz="0" w:space="0" w:color="auto"/>
      </w:divBdr>
    </w:div>
    <w:div w:id="761727283">
      <w:bodyDiv w:val="1"/>
      <w:marLeft w:val="0"/>
      <w:marRight w:val="0"/>
      <w:marTop w:val="0"/>
      <w:marBottom w:val="0"/>
      <w:divBdr>
        <w:top w:val="none" w:sz="0" w:space="0" w:color="auto"/>
        <w:left w:val="none" w:sz="0" w:space="0" w:color="auto"/>
        <w:bottom w:val="none" w:sz="0" w:space="0" w:color="auto"/>
        <w:right w:val="none" w:sz="0" w:space="0" w:color="auto"/>
      </w:divBdr>
    </w:div>
    <w:div w:id="773329417">
      <w:bodyDiv w:val="1"/>
      <w:marLeft w:val="0"/>
      <w:marRight w:val="0"/>
      <w:marTop w:val="0"/>
      <w:marBottom w:val="0"/>
      <w:divBdr>
        <w:top w:val="none" w:sz="0" w:space="0" w:color="auto"/>
        <w:left w:val="none" w:sz="0" w:space="0" w:color="auto"/>
        <w:bottom w:val="none" w:sz="0" w:space="0" w:color="auto"/>
        <w:right w:val="none" w:sz="0" w:space="0" w:color="auto"/>
      </w:divBdr>
    </w:div>
    <w:div w:id="778380655">
      <w:bodyDiv w:val="1"/>
      <w:marLeft w:val="0"/>
      <w:marRight w:val="0"/>
      <w:marTop w:val="0"/>
      <w:marBottom w:val="0"/>
      <w:divBdr>
        <w:top w:val="none" w:sz="0" w:space="0" w:color="auto"/>
        <w:left w:val="none" w:sz="0" w:space="0" w:color="auto"/>
        <w:bottom w:val="none" w:sz="0" w:space="0" w:color="auto"/>
        <w:right w:val="none" w:sz="0" w:space="0" w:color="auto"/>
      </w:divBdr>
    </w:div>
    <w:div w:id="802238009">
      <w:bodyDiv w:val="1"/>
      <w:marLeft w:val="0"/>
      <w:marRight w:val="0"/>
      <w:marTop w:val="0"/>
      <w:marBottom w:val="0"/>
      <w:divBdr>
        <w:top w:val="none" w:sz="0" w:space="0" w:color="auto"/>
        <w:left w:val="none" w:sz="0" w:space="0" w:color="auto"/>
        <w:bottom w:val="none" w:sz="0" w:space="0" w:color="auto"/>
        <w:right w:val="none" w:sz="0" w:space="0" w:color="auto"/>
      </w:divBdr>
    </w:div>
    <w:div w:id="828133273">
      <w:bodyDiv w:val="1"/>
      <w:marLeft w:val="0"/>
      <w:marRight w:val="0"/>
      <w:marTop w:val="0"/>
      <w:marBottom w:val="0"/>
      <w:divBdr>
        <w:top w:val="none" w:sz="0" w:space="0" w:color="auto"/>
        <w:left w:val="none" w:sz="0" w:space="0" w:color="auto"/>
        <w:bottom w:val="none" w:sz="0" w:space="0" w:color="auto"/>
        <w:right w:val="none" w:sz="0" w:space="0" w:color="auto"/>
      </w:divBdr>
    </w:div>
    <w:div w:id="835071479">
      <w:bodyDiv w:val="1"/>
      <w:marLeft w:val="0"/>
      <w:marRight w:val="0"/>
      <w:marTop w:val="0"/>
      <w:marBottom w:val="0"/>
      <w:divBdr>
        <w:top w:val="none" w:sz="0" w:space="0" w:color="auto"/>
        <w:left w:val="none" w:sz="0" w:space="0" w:color="auto"/>
        <w:bottom w:val="none" w:sz="0" w:space="0" w:color="auto"/>
        <w:right w:val="none" w:sz="0" w:space="0" w:color="auto"/>
      </w:divBdr>
    </w:div>
    <w:div w:id="835146968">
      <w:bodyDiv w:val="1"/>
      <w:marLeft w:val="0"/>
      <w:marRight w:val="0"/>
      <w:marTop w:val="0"/>
      <w:marBottom w:val="0"/>
      <w:divBdr>
        <w:top w:val="none" w:sz="0" w:space="0" w:color="auto"/>
        <w:left w:val="none" w:sz="0" w:space="0" w:color="auto"/>
        <w:bottom w:val="none" w:sz="0" w:space="0" w:color="auto"/>
        <w:right w:val="none" w:sz="0" w:space="0" w:color="auto"/>
      </w:divBdr>
    </w:div>
    <w:div w:id="847602373">
      <w:bodyDiv w:val="1"/>
      <w:marLeft w:val="0"/>
      <w:marRight w:val="0"/>
      <w:marTop w:val="0"/>
      <w:marBottom w:val="0"/>
      <w:divBdr>
        <w:top w:val="none" w:sz="0" w:space="0" w:color="auto"/>
        <w:left w:val="none" w:sz="0" w:space="0" w:color="auto"/>
        <w:bottom w:val="none" w:sz="0" w:space="0" w:color="auto"/>
        <w:right w:val="none" w:sz="0" w:space="0" w:color="auto"/>
      </w:divBdr>
    </w:div>
    <w:div w:id="849679445">
      <w:bodyDiv w:val="1"/>
      <w:marLeft w:val="0"/>
      <w:marRight w:val="0"/>
      <w:marTop w:val="0"/>
      <w:marBottom w:val="0"/>
      <w:divBdr>
        <w:top w:val="none" w:sz="0" w:space="0" w:color="auto"/>
        <w:left w:val="none" w:sz="0" w:space="0" w:color="auto"/>
        <w:bottom w:val="none" w:sz="0" w:space="0" w:color="auto"/>
        <w:right w:val="none" w:sz="0" w:space="0" w:color="auto"/>
      </w:divBdr>
    </w:div>
    <w:div w:id="877470758">
      <w:bodyDiv w:val="1"/>
      <w:marLeft w:val="0"/>
      <w:marRight w:val="0"/>
      <w:marTop w:val="0"/>
      <w:marBottom w:val="0"/>
      <w:divBdr>
        <w:top w:val="none" w:sz="0" w:space="0" w:color="auto"/>
        <w:left w:val="none" w:sz="0" w:space="0" w:color="auto"/>
        <w:bottom w:val="none" w:sz="0" w:space="0" w:color="auto"/>
        <w:right w:val="none" w:sz="0" w:space="0" w:color="auto"/>
      </w:divBdr>
    </w:div>
    <w:div w:id="891959378">
      <w:bodyDiv w:val="1"/>
      <w:marLeft w:val="0"/>
      <w:marRight w:val="0"/>
      <w:marTop w:val="0"/>
      <w:marBottom w:val="0"/>
      <w:divBdr>
        <w:top w:val="none" w:sz="0" w:space="0" w:color="auto"/>
        <w:left w:val="none" w:sz="0" w:space="0" w:color="auto"/>
        <w:bottom w:val="none" w:sz="0" w:space="0" w:color="auto"/>
        <w:right w:val="none" w:sz="0" w:space="0" w:color="auto"/>
      </w:divBdr>
    </w:div>
    <w:div w:id="909921578">
      <w:bodyDiv w:val="1"/>
      <w:marLeft w:val="0"/>
      <w:marRight w:val="0"/>
      <w:marTop w:val="0"/>
      <w:marBottom w:val="0"/>
      <w:divBdr>
        <w:top w:val="none" w:sz="0" w:space="0" w:color="auto"/>
        <w:left w:val="none" w:sz="0" w:space="0" w:color="auto"/>
        <w:bottom w:val="none" w:sz="0" w:space="0" w:color="auto"/>
        <w:right w:val="none" w:sz="0" w:space="0" w:color="auto"/>
      </w:divBdr>
    </w:div>
    <w:div w:id="919144604">
      <w:bodyDiv w:val="1"/>
      <w:marLeft w:val="0"/>
      <w:marRight w:val="0"/>
      <w:marTop w:val="0"/>
      <w:marBottom w:val="0"/>
      <w:divBdr>
        <w:top w:val="none" w:sz="0" w:space="0" w:color="auto"/>
        <w:left w:val="none" w:sz="0" w:space="0" w:color="auto"/>
        <w:bottom w:val="none" w:sz="0" w:space="0" w:color="auto"/>
        <w:right w:val="none" w:sz="0" w:space="0" w:color="auto"/>
      </w:divBdr>
    </w:div>
    <w:div w:id="934628975">
      <w:bodyDiv w:val="1"/>
      <w:marLeft w:val="0"/>
      <w:marRight w:val="0"/>
      <w:marTop w:val="0"/>
      <w:marBottom w:val="0"/>
      <w:divBdr>
        <w:top w:val="none" w:sz="0" w:space="0" w:color="auto"/>
        <w:left w:val="none" w:sz="0" w:space="0" w:color="auto"/>
        <w:bottom w:val="none" w:sz="0" w:space="0" w:color="auto"/>
        <w:right w:val="none" w:sz="0" w:space="0" w:color="auto"/>
      </w:divBdr>
    </w:div>
    <w:div w:id="946815735">
      <w:bodyDiv w:val="1"/>
      <w:marLeft w:val="0"/>
      <w:marRight w:val="0"/>
      <w:marTop w:val="0"/>
      <w:marBottom w:val="0"/>
      <w:divBdr>
        <w:top w:val="none" w:sz="0" w:space="0" w:color="auto"/>
        <w:left w:val="none" w:sz="0" w:space="0" w:color="auto"/>
        <w:bottom w:val="none" w:sz="0" w:space="0" w:color="auto"/>
        <w:right w:val="none" w:sz="0" w:space="0" w:color="auto"/>
      </w:divBdr>
    </w:div>
    <w:div w:id="970792968">
      <w:bodyDiv w:val="1"/>
      <w:marLeft w:val="0"/>
      <w:marRight w:val="0"/>
      <w:marTop w:val="0"/>
      <w:marBottom w:val="0"/>
      <w:divBdr>
        <w:top w:val="none" w:sz="0" w:space="0" w:color="auto"/>
        <w:left w:val="none" w:sz="0" w:space="0" w:color="auto"/>
        <w:bottom w:val="none" w:sz="0" w:space="0" w:color="auto"/>
        <w:right w:val="none" w:sz="0" w:space="0" w:color="auto"/>
      </w:divBdr>
    </w:div>
    <w:div w:id="983195305">
      <w:bodyDiv w:val="1"/>
      <w:marLeft w:val="0"/>
      <w:marRight w:val="0"/>
      <w:marTop w:val="0"/>
      <w:marBottom w:val="0"/>
      <w:divBdr>
        <w:top w:val="none" w:sz="0" w:space="0" w:color="auto"/>
        <w:left w:val="none" w:sz="0" w:space="0" w:color="auto"/>
        <w:bottom w:val="none" w:sz="0" w:space="0" w:color="auto"/>
        <w:right w:val="none" w:sz="0" w:space="0" w:color="auto"/>
      </w:divBdr>
    </w:div>
    <w:div w:id="1003703287">
      <w:bodyDiv w:val="1"/>
      <w:marLeft w:val="0"/>
      <w:marRight w:val="0"/>
      <w:marTop w:val="0"/>
      <w:marBottom w:val="0"/>
      <w:divBdr>
        <w:top w:val="none" w:sz="0" w:space="0" w:color="auto"/>
        <w:left w:val="none" w:sz="0" w:space="0" w:color="auto"/>
        <w:bottom w:val="none" w:sz="0" w:space="0" w:color="auto"/>
        <w:right w:val="none" w:sz="0" w:space="0" w:color="auto"/>
      </w:divBdr>
    </w:div>
    <w:div w:id="1004208169">
      <w:bodyDiv w:val="1"/>
      <w:marLeft w:val="0"/>
      <w:marRight w:val="0"/>
      <w:marTop w:val="0"/>
      <w:marBottom w:val="0"/>
      <w:divBdr>
        <w:top w:val="none" w:sz="0" w:space="0" w:color="auto"/>
        <w:left w:val="none" w:sz="0" w:space="0" w:color="auto"/>
        <w:bottom w:val="none" w:sz="0" w:space="0" w:color="auto"/>
        <w:right w:val="none" w:sz="0" w:space="0" w:color="auto"/>
      </w:divBdr>
    </w:div>
    <w:div w:id="1023021693">
      <w:bodyDiv w:val="1"/>
      <w:marLeft w:val="0"/>
      <w:marRight w:val="0"/>
      <w:marTop w:val="0"/>
      <w:marBottom w:val="0"/>
      <w:divBdr>
        <w:top w:val="none" w:sz="0" w:space="0" w:color="auto"/>
        <w:left w:val="none" w:sz="0" w:space="0" w:color="auto"/>
        <w:bottom w:val="none" w:sz="0" w:space="0" w:color="auto"/>
        <w:right w:val="none" w:sz="0" w:space="0" w:color="auto"/>
      </w:divBdr>
    </w:div>
    <w:div w:id="1033267446">
      <w:bodyDiv w:val="1"/>
      <w:marLeft w:val="0"/>
      <w:marRight w:val="0"/>
      <w:marTop w:val="0"/>
      <w:marBottom w:val="0"/>
      <w:divBdr>
        <w:top w:val="none" w:sz="0" w:space="0" w:color="auto"/>
        <w:left w:val="none" w:sz="0" w:space="0" w:color="auto"/>
        <w:bottom w:val="none" w:sz="0" w:space="0" w:color="auto"/>
        <w:right w:val="none" w:sz="0" w:space="0" w:color="auto"/>
      </w:divBdr>
    </w:div>
    <w:div w:id="1035470738">
      <w:bodyDiv w:val="1"/>
      <w:marLeft w:val="0"/>
      <w:marRight w:val="0"/>
      <w:marTop w:val="0"/>
      <w:marBottom w:val="0"/>
      <w:divBdr>
        <w:top w:val="none" w:sz="0" w:space="0" w:color="auto"/>
        <w:left w:val="none" w:sz="0" w:space="0" w:color="auto"/>
        <w:bottom w:val="none" w:sz="0" w:space="0" w:color="auto"/>
        <w:right w:val="none" w:sz="0" w:space="0" w:color="auto"/>
      </w:divBdr>
    </w:div>
    <w:div w:id="1055198661">
      <w:bodyDiv w:val="1"/>
      <w:marLeft w:val="0"/>
      <w:marRight w:val="0"/>
      <w:marTop w:val="0"/>
      <w:marBottom w:val="0"/>
      <w:divBdr>
        <w:top w:val="none" w:sz="0" w:space="0" w:color="auto"/>
        <w:left w:val="none" w:sz="0" w:space="0" w:color="auto"/>
        <w:bottom w:val="none" w:sz="0" w:space="0" w:color="auto"/>
        <w:right w:val="none" w:sz="0" w:space="0" w:color="auto"/>
      </w:divBdr>
    </w:div>
    <w:div w:id="1057708202">
      <w:bodyDiv w:val="1"/>
      <w:marLeft w:val="0"/>
      <w:marRight w:val="0"/>
      <w:marTop w:val="0"/>
      <w:marBottom w:val="0"/>
      <w:divBdr>
        <w:top w:val="none" w:sz="0" w:space="0" w:color="auto"/>
        <w:left w:val="none" w:sz="0" w:space="0" w:color="auto"/>
        <w:bottom w:val="none" w:sz="0" w:space="0" w:color="auto"/>
        <w:right w:val="none" w:sz="0" w:space="0" w:color="auto"/>
      </w:divBdr>
    </w:div>
    <w:div w:id="1060401368">
      <w:bodyDiv w:val="1"/>
      <w:marLeft w:val="0"/>
      <w:marRight w:val="0"/>
      <w:marTop w:val="0"/>
      <w:marBottom w:val="0"/>
      <w:divBdr>
        <w:top w:val="none" w:sz="0" w:space="0" w:color="auto"/>
        <w:left w:val="none" w:sz="0" w:space="0" w:color="auto"/>
        <w:bottom w:val="none" w:sz="0" w:space="0" w:color="auto"/>
        <w:right w:val="none" w:sz="0" w:space="0" w:color="auto"/>
      </w:divBdr>
    </w:div>
    <w:div w:id="1080635317">
      <w:bodyDiv w:val="1"/>
      <w:marLeft w:val="0"/>
      <w:marRight w:val="0"/>
      <w:marTop w:val="0"/>
      <w:marBottom w:val="0"/>
      <w:divBdr>
        <w:top w:val="none" w:sz="0" w:space="0" w:color="auto"/>
        <w:left w:val="none" w:sz="0" w:space="0" w:color="auto"/>
        <w:bottom w:val="none" w:sz="0" w:space="0" w:color="auto"/>
        <w:right w:val="none" w:sz="0" w:space="0" w:color="auto"/>
      </w:divBdr>
    </w:div>
    <w:div w:id="1081679468">
      <w:bodyDiv w:val="1"/>
      <w:marLeft w:val="0"/>
      <w:marRight w:val="0"/>
      <w:marTop w:val="0"/>
      <w:marBottom w:val="0"/>
      <w:divBdr>
        <w:top w:val="none" w:sz="0" w:space="0" w:color="auto"/>
        <w:left w:val="none" w:sz="0" w:space="0" w:color="auto"/>
        <w:bottom w:val="none" w:sz="0" w:space="0" w:color="auto"/>
        <w:right w:val="none" w:sz="0" w:space="0" w:color="auto"/>
      </w:divBdr>
    </w:div>
    <w:div w:id="1086808463">
      <w:bodyDiv w:val="1"/>
      <w:marLeft w:val="0"/>
      <w:marRight w:val="0"/>
      <w:marTop w:val="0"/>
      <w:marBottom w:val="0"/>
      <w:divBdr>
        <w:top w:val="none" w:sz="0" w:space="0" w:color="auto"/>
        <w:left w:val="none" w:sz="0" w:space="0" w:color="auto"/>
        <w:bottom w:val="none" w:sz="0" w:space="0" w:color="auto"/>
        <w:right w:val="none" w:sz="0" w:space="0" w:color="auto"/>
      </w:divBdr>
    </w:div>
    <w:div w:id="1091119577">
      <w:bodyDiv w:val="1"/>
      <w:marLeft w:val="0"/>
      <w:marRight w:val="0"/>
      <w:marTop w:val="0"/>
      <w:marBottom w:val="0"/>
      <w:divBdr>
        <w:top w:val="none" w:sz="0" w:space="0" w:color="auto"/>
        <w:left w:val="none" w:sz="0" w:space="0" w:color="auto"/>
        <w:bottom w:val="none" w:sz="0" w:space="0" w:color="auto"/>
        <w:right w:val="none" w:sz="0" w:space="0" w:color="auto"/>
      </w:divBdr>
    </w:div>
    <w:div w:id="1093745963">
      <w:bodyDiv w:val="1"/>
      <w:marLeft w:val="0"/>
      <w:marRight w:val="0"/>
      <w:marTop w:val="0"/>
      <w:marBottom w:val="0"/>
      <w:divBdr>
        <w:top w:val="none" w:sz="0" w:space="0" w:color="auto"/>
        <w:left w:val="none" w:sz="0" w:space="0" w:color="auto"/>
        <w:bottom w:val="none" w:sz="0" w:space="0" w:color="auto"/>
        <w:right w:val="none" w:sz="0" w:space="0" w:color="auto"/>
      </w:divBdr>
    </w:div>
    <w:div w:id="1105030632">
      <w:bodyDiv w:val="1"/>
      <w:marLeft w:val="0"/>
      <w:marRight w:val="0"/>
      <w:marTop w:val="0"/>
      <w:marBottom w:val="0"/>
      <w:divBdr>
        <w:top w:val="none" w:sz="0" w:space="0" w:color="auto"/>
        <w:left w:val="none" w:sz="0" w:space="0" w:color="auto"/>
        <w:bottom w:val="none" w:sz="0" w:space="0" w:color="auto"/>
        <w:right w:val="none" w:sz="0" w:space="0" w:color="auto"/>
      </w:divBdr>
    </w:div>
    <w:div w:id="1139034366">
      <w:bodyDiv w:val="1"/>
      <w:marLeft w:val="0"/>
      <w:marRight w:val="0"/>
      <w:marTop w:val="0"/>
      <w:marBottom w:val="0"/>
      <w:divBdr>
        <w:top w:val="none" w:sz="0" w:space="0" w:color="auto"/>
        <w:left w:val="none" w:sz="0" w:space="0" w:color="auto"/>
        <w:bottom w:val="none" w:sz="0" w:space="0" w:color="auto"/>
        <w:right w:val="none" w:sz="0" w:space="0" w:color="auto"/>
      </w:divBdr>
    </w:div>
    <w:div w:id="1144733526">
      <w:bodyDiv w:val="1"/>
      <w:marLeft w:val="0"/>
      <w:marRight w:val="0"/>
      <w:marTop w:val="0"/>
      <w:marBottom w:val="0"/>
      <w:divBdr>
        <w:top w:val="none" w:sz="0" w:space="0" w:color="auto"/>
        <w:left w:val="none" w:sz="0" w:space="0" w:color="auto"/>
        <w:bottom w:val="none" w:sz="0" w:space="0" w:color="auto"/>
        <w:right w:val="none" w:sz="0" w:space="0" w:color="auto"/>
      </w:divBdr>
    </w:div>
    <w:div w:id="1146317320">
      <w:bodyDiv w:val="1"/>
      <w:marLeft w:val="0"/>
      <w:marRight w:val="0"/>
      <w:marTop w:val="0"/>
      <w:marBottom w:val="0"/>
      <w:divBdr>
        <w:top w:val="none" w:sz="0" w:space="0" w:color="auto"/>
        <w:left w:val="none" w:sz="0" w:space="0" w:color="auto"/>
        <w:bottom w:val="none" w:sz="0" w:space="0" w:color="auto"/>
        <w:right w:val="none" w:sz="0" w:space="0" w:color="auto"/>
      </w:divBdr>
    </w:div>
    <w:div w:id="1155147279">
      <w:bodyDiv w:val="1"/>
      <w:marLeft w:val="0"/>
      <w:marRight w:val="0"/>
      <w:marTop w:val="0"/>
      <w:marBottom w:val="0"/>
      <w:divBdr>
        <w:top w:val="none" w:sz="0" w:space="0" w:color="auto"/>
        <w:left w:val="none" w:sz="0" w:space="0" w:color="auto"/>
        <w:bottom w:val="none" w:sz="0" w:space="0" w:color="auto"/>
        <w:right w:val="none" w:sz="0" w:space="0" w:color="auto"/>
      </w:divBdr>
    </w:div>
    <w:div w:id="1238173517">
      <w:bodyDiv w:val="1"/>
      <w:marLeft w:val="0"/>
      <w:marRight w:val="0"/>
      <w:marTop w:val="0"/>
      <w:marBottom w:val="0"/>
      <w:divBdr>
        <w:top w:val="none" w:sz="0" w:space="0" w:color="auto"/>
        <w:left w:val="none" w:sz="0" w:space="0" w:color="auto"/>
        <w:bottom w:val="none" w:sz="0" w:space="0" w:color="auto"/>
        <w:right w:val="none" w:sz="0" w:space="0" w:color="auto"/>
      </w:divBdr>
    </w:div>
    <w:div w:id="1241410643">
      <w:bodyDiv w:val="1"/>
      <w:marLeft w:val="0"/>
      <w:marRight w:val="0"/>
      <w:marTop w:val="0"/>
      <w:marBottom w:val="0"/>
      <w:divBdr>
        <w:top w:val="none" w:sz="0" w:space="0" w:color="auto"/>
        <w:left w:val="none" w:sz="0" w:space="0" w:color="auto"/>
        <w:bottom w:val="none" w:sz="0" w:space="0" w:color="auto"/>
        <w:right w:val="none" w:sz="0" w:space="0" w:color="auto"/>
      </w:divBdr>
    </w:div>
    <w:div w:id="1244149527">
      <w:bodyDiv w:val="1"/>
      <w:marLeft w:val="0"/>
      <w:marRight w:val="0"/>
      <w:marTop w:val="0"/>
      <w:marBottom w:val="0"/>
      <w:divBdr>
        <w:top w:val="none" w:sz="0" w:space="0" w:color="auto"/>
        <w:left w:val="none" w:sz="0" w:space="0" w:color="auto"/>
        <w:bottom w:val="none" w:sz="0" w:space="0" w:color="auto"/>
        <w:right w:val="none" w:sz="0" w:space="0" w:color="auto"/>
      </w:divBdr>
    </w:div>
    <w:div w:id="1259750078">
      <w:bodyDiv w:val="1"/>
      <w:marLeft w:val="0"/>
      <w:marRight w:val="0"/>
      <w:marTop w:val="0"/>
      <w:marBottom w:val="0"/>
      <w:divBdr>
        <w:top w:val="none" w:sz="0" w:space="0" w:color="auto"/>
        <w:left w:val="none" w:sz="0" w:space="0" w:color="auto"/>
        <w:bottom w:val="none" w:sz="0" w:space="0" w:color="auto"/>
        <w:right w:val="none" w:sz="0" w:space="0" w:color="auto"/>
      </w:divBdr>
    </w:div>
    <w:div w:id="1260991195">
      <w:bodyDiv w:val="1"/>
      <w:marLeft w:val="0"/>
      <w:marRight w:val="0"/>
      <w:marTop w:val="0"/>
      <w:marBottom w:val="0"/>
      <w:divBdr>
        <w:top w:val="none" w:sz="0" w:space="0" w:color="auto"/>
        <w:left w:val="none" w:sz="0" w:space="0" w:color="auto"/>
        <w:bottom w:val="none" w:sz="0" w:space="0" w:color="auto"/>
        <w:right w:val="none" w:sz="0" w:space="0" w:color="auto"/>
      </w:divBdr>
    </w:div>
    <w:div w:id="1286887978">
      <w:bodyDiv w:val="1"/>
      <w:marLeft w:val="0"/>
      <w:marRight w:val="0"/>
      <w:marTop w:val="0"/>
      <w:marBottom w:val="0"/>
      <w:divBdr>
        <w:top w:val="none" w:sz="0" w:space="0" w:color="auto"/>
        <w:left w:val="none" w:sz="0" w:space="0" w:color="auto"/>
        <w:bottom w:val="none" w:sz="0" w:space="0" w:color="auto"/>
        <w:right w:val="none" w:sz="0" w:space="0" w:color="auto"/>
      </w:divBdr>
    </w:div>
    <w:div w:id="1289507091">
      <w:bodyDiv w:val="1"/>
      <w:marLeft w:val="0"/>
      <w:marRight w:val="0"/>
      <w:marTop w:val="0"/>
      <w:marBottom w:val="0"/>
      <w:divBdr>
        <w:top w:val="none" w:sz="0" w:space="0" w:color="auto"/>
        <w:left w:val="none" w:sz="0" w:space="0" w:color="auto"/>
        <w:bottom w:val="none" w:sz="0" w:space="0" w:color="auto"/>
        <w:right w:val="none" w:sz="0" w:space="0" w:color="auto"/>
      </w:divBdr>
    </w:div>
    <w:div w:id="1304121478">
      <w:bodyDiv w:val="1"/>
      <w:marLeft w:val="0"/>
      <w:marRight w:val="0"/>
      <w:marTop w:val="0"/>
      <w:marBottom w:val="0"/>
      <w:divBdr>
        <w:top w:val="none" w:sz="0" w:space="0" w:color="auto"/>
        <w:left w:val="none" w:sz="0" w:space="0" w:color="auto"/>
        <w:bottom w:val="none" w:sz="0" w:space="0" w:color="auto"/>
        <w:right w:val="none" w:sz="0" w:space="0" w:color="auto"/>
      </w:divBdr>
    </w:div>
    <w:div w:id="1316569744">
      <w:bodyDiv w:val="1"/>
      <w:marLeft w:val="0"/>
      <w:marRight w:val="0"/>
      <w:marTop w:val="0"/>
      <w:marBottom w:val="0"/>
      <w:divBdr>
        <w:top w:val="none" w:sz="0" w:space="0" w:color="auto"/>
        <w:left w:val="none" w:sz="0" w:space="0" w:color="auto"/>
        <w:bottom w:val="none" w:sz="0" w:space="0" w:color="auto"/>
        <w:right w:val="none" w:sz="0" w:space="0" w:color="auto"/>
      </w:divBdr>
    </w:div>
    <w:div w:id="1317029698">
      <w:bodyDiv w:val="1"/>
      <w:marLeft w:val="0"/>
      <w:marRight w:val="0"/>
      <w:marTop w:val="0"/>
      <w:marBottom w:val="0"/>
      <w:divBdr>
        <w:top w:val="none" w:sz="0" w:space="0" w:color="auto"/>
        <w:left w:val="none" w:sz="0" w:space="0" w:color="auto"/>
        <w:bottom w:val="none" w:sz="0" w:space="0" w:color="auto"/>
        <w:right w:val="none" w:sz="0" w:space="0" w:color="auto"/>
      </w:divBdr>
    </w:div>
    <w:div w:id="1336035444">
      <w:bodyDiv w:val="1"/>
      <w:marLeft w:val="0"/>
      <w:marRight w:val="0"/>
      <w:marTop w:val="0"/>
      <w:marBottom w:val="0"/>
      <w:divBdr>
        <w:top w:val="none" w:sz="0" w:space="0" w:color="auto"/>
        <w:left w:val="none" w:sz="0" w:space="0" w:color="auto"/>
        <w:bottom w:val="none" w:sz="0" w:space="0" w:color="auto"/>
        <w:right w:val="none" w:sz="0" w:space="0" w:color="auto"/>
      </w:divBdr>
    </w:div>
    <w:div w:id="1338383490">
      <w:bodyDiv w:val="1"/>
      <w:marLeft w:val="0"/>
      <w:marRight w:val="0"/>
      <w:marTop w:val="0"/>
      <w:marBottom w:val="0"/>
      <w:divBdr>
        <w:top w:val="none" w:sz="0" w:space="0" w:color="auto"/>
        <w:left w:val="none" w:sz="0" w:space="0" w:color="auto"/>
        <w:bottom w:val="none" w:sz="0" w:space="0" w:color="auto"/>
        <w:right w:val="none" w:sz="0" w:space="0" w:color="auto"/>
      </w:divBdr>
    </w:div>
    <w:div w:id="1352147336">
      <w:bodyDiv w:val="1"/>
      <w:marLeft w:val="0"/>
      <w:marRight w:val="0"/>
      <w:marTop w:val="0"/>
      <w:marBottom w:val="0"/>
      <w:divBdr>
        <w:top w:val="none" w:sz="0" w:space="0" w:color="auto"/>
        <w:left w:val="none" w:sz="0" w:space="0" w:color="auto"/>
        <w:bottom w:val="none" w:sz="0" w:space="0" w:color="auto"/>
        <w:right w:val="none" w:sz="0" w:space="0" w:color="auto"/>
      </w:divBdr>
    </w:div>
    <w:div w:id="1369062737">
      <w:bodyDiv w:val="1"/>
      <w:marLeft w:val="0"/>
      <w:marRight w:val="0"/>
      <w:marTop w:val="0"/>
      <w:marBottom w:val="0"/>
      <w:divBdr>
        <w:top w:val="none" w:sz="0" w:space="0" w:color="auto"/>
        <w:left w:val="none" w:sz="0" w:space="0" w:color="auto"/>
        <w:bottom w:val="none" w:sz="0" w:space="0" w:color="auto"/>
        <w:right w:val="none" w:sz="0" w:space="0" w:color="auto"/>
      </w:divBdr>
    </w:div>
    <w:div w:id="1388263172">
      <w:bodyDiv w:val="1"/>
      <w:marLeft w:val="0"/>
      <w:marRight w:val="0"/>
      <w:marTop w:val="0"/>
      <w:marBottom w:val="0"/>
      <w:divBdr>
        <w:top w:val="none" w:sz="0" w:space="0" w:color="auto"/>
        <w:left w:val="none" w:sz="0" w:space="0" w:color="auto"/>
        <w:bottom w:val="none" w:sz="0" w:space="0" w:color="auto"/>
        <w:right w:val="none" w:sz="0" w:space="0" w:color="auto"/>
      </w:divBdr>
    </w:div>
    <w:div w:id="1424957364">
      <w:bodyDiv w:val="1"/>
      <w:marLeft w:val="0"/>
      <w:marRight w:val="0"/>
      <w:marTop w:val="0"/>
      <w:marBottom w:val="0"/>
      <w:divBdr>
        <w:top w:val="none" w:sz="0" w:space="0" w:color="auto"/>
        <w:left w:val="none" w:sz="0" w:space="0" w:color="auto"/>
        <w:bottom w:val="none" w:sz="0" w:space="0" w:color="auto"/>
        <w:right w:val="none" w:sz="0" w:space="0" w:color="auto"/>
      </w:divBdr>
    </w:div>
    <w:div w:id="1435326344">
      <w:bodyDiv w:val="1"/>
      <w:marLeft w:val="0"/>
      <w:marRight w:val="0"/>
      <w:marTop w:val="0"/>
      <w:marBottom w:val="0"/>
      <w:divBdr>
        <w:top w:val="none" w:sz="0" w:space="0" w:color="auto"/>
        <w:left w:val="none" w:sz="0" w:space="0" w:color="auto"/>
        <w:bottom w:val="none" w:sz="0" w:space="0" w:color="auto"/>
        <w:right w:val="none" w:sz="0" w:space="0" w:color="auto"/>
      </w:divBdr>
    </w:div>
    <w:div w:id="1438669965">
      <w:bodyDiv w:val="1"/>
      <w:marLeft w:val="0"/>
      <w:marRight w:val="0"/>
      <w:marTop w:val="0"/>
      <w:marBottom w:val="0"/>
      <w:divBdr>
        <w:top w:val="none" w:sz="0" w:space="0" w:color="auto"/>
        <w:left w:val="none" w:sz="0" w:space="0" w:color="auto"/>
        <w:bottom w:val="none" w:sz="0" w:space="0" w:color="auto"/>
        <w:right w:val="none" w:sz="0" w:space="0" w:color="auto"/>
      </w:divBdr>
    </w:div>
    <w:div w:id="1443769659">
      <w:bodyDiv w:val="1"/>
      <w:marLeft w:val="0"/>
      <w:marRight w:val="0"/>
      <w:marTop w:val="0"/>
      <w:marBottom w:val="0"/>
      <w:divBdr>
        <w:top w:val="none" w:sz="0" w:space="0" w:color="auto"/>
        <w:left w:val="none" w:sz="0" w:space="0" w:color="auto"/>
        <w:bottom w:val="none" w:sz="0" w:space="0" w:color="auto"/>
        <w:right w:val="none" w:sz="0" w:space="0" w:color="auto"/>
      </w:divBdr>
    </w:div>
    <w:div w:id="1448430590">
      <w:bodyDiv w:val="1"/>
      <w:marLeft w:val="0"/>
      <w:marRight w:val="0"/>
      <w:marTop w:val="0"/>
      <w:marBottom w:val="0"/>
      <w:divBdr>
        <w:top w:val="none" w:sz="0" w:space="0" w:color="auto"/>
        <w:left w:val="none" w:sz="0" w:space="0" w:color="auto"/>
        <w:bottom w:val="none" w:sz="0" w:space="0" w:color="auto"/>
        <w:right w:val="none" w:sz="0" w:space="0" w:color="auto"/>
      </w:divBdr>
    </w:div>
    <w:div w:id="1458136606">
      <w:bodyDiv w:val="1"/>
      <w:marLeft w:val="0"/>
      <w:marRight w:val="0"/>
      <w:marTop w:val="0"/>
      <w:marBottom w:val="0"/>
      <w:divBdr>
        <w:top w:val="none" w:sz="0" w:space="0" w:color="auto"/>
        <w:left w:val="none" w:sz="0" w:space="0" w:color="auto"/>
        <w:bottom w:val="none" w:sz="0" w:space="0" w:color="auto"/>
        <w:right w:val="none" w:sz="0" w:space="0" w:color="auto"/>
      </w:divBdr>
    </w:div>
    <w:div w:id="1473446872">
      <w:bodyDiv w:val="1"/>
      <w:marLeft w:val="0"/>
      <w:marRight w:val="0"/>
      <w:marTop w:val="0"/>
      <w:marBottom w:val="0"/>
      <w:divBdr>
        <w:top w:val="none" w:sz="0" w:space="0" w:color="auto"/>
        <w:left w:val="none" w:sz="0" w:space="0" w:color="auto"/>
        <w:bottom w:val="none" w:sz="0" w:space="0" w:color="auto"/>
        <w:right w:val="none" w:sz="0" w:space="0" w:color="auto"/>
      </w:divBdr>
    </w:div>
    <w:div w:id="1499883994">
      <w:bodyDiv w:val="1"/>
      <w:marLeft w:val="0"/>
      <w:marRight w:val="0"/>
      <w:marTop w:val="0"/>
      <w:marBottom w:val="0"/>
      <w:divBdr>
        <w:top w:val="none" w:sz="0" w:space="0" w:color="auto"/>
        <w:left w:val="none" w:sz="0" w:space="0" w:color="auto"/>
        <w:bottom w:val="none" w:sz="0" w:space="0" w:color="auto"/>
        <w:right w:val="none" w:sz="0" w:space="0" w:color="auto"/>
      </w:divBdr>
    </w:div>
    <w:div w:id="1506087647">
      <w:bodyDiv w:val="1"/>
      <w:marLeft w:val="0"/>
      <w:marRight w:val="0"/>
      <w:marTop w:val="0"/>
      <w:marBottom w:val="0"/>
      <w:divBdr>
        <w:top w:val="none" w:sz="0" w:space="0" w:color="auto"/>
        <w:left w:val="none" w:sz="0" w:space="0" w:color="auto"/>
        <w:bottom w:val="none" w:sz="0" w:space="0" w:color="auto"/>
        <w:right w:val="none" w:sz="0" w:space="0" w:color="auto"/>
      </w:divBdr>
    </w:div>
    <w:div w:id="1508329856">
      <w:bodyDiv w:val="1"/>
      <w:marLeft w:val="0"/>
      <w:marRight w:val="0"/>
      <w:marTop w:val="0"/>
      <w:marBottom w:val="0"/>
      <w:divBdr>
        <w:top w:val="none" w:sz="0" w:space="0" w:color="auto"/>
        <w:left w:val="none" w:sz="0" w:space="0" w:color="auto"/>
        <w:bottom w:val="none" w:sz="0" w:space="0" w:color="auto"/>
        <w:right w:val="none" w:sz="0" w:space="0" w:color="auto"/>
      </w:divBdr>
    </w:div>
    <w:div w:id="1537697761">
      <w:bodyDiv w:val="1"/>
      <w:marLeft w:val="0"/>
      <w:marRight w:val="0"/>
      <w:marTop w:val="0"/>
      <w:marBottom w:val="0"/>
      <w:divBdr>
        <w:top w:val="none" w:sz="0" w:space="0" w:color="auto"/>
        <w:left w:val="none" w:sz="0" w:space="0" w:color="auto"/>
        <w:bottom w:val="none" w:sz="0" w:space="0" w:color="auto"/>
        <w:right w:val="none" w:sz="0" w:space="0" w:color="auto"/>
      </w:divBdr>
    </w:div>
    <w:div w:id="1562522892">
      <w:bodyDiv w:val="1"/>
      <w:marLeft w:val="0"/>
      <w:marRight w:val="0"/>
      <w:marTop w:val="0"/>
      <w:marBottom w:val="0"/>
      <w:divBdr>
        <w:top w:val="none" w:sz="0" w:space="0" w:color="auto"/>
        <w:left w:val="none" w:sz="0" w:space="0" w:color="auto"/>
        <w:bottom w:val="none" w:sz="0" w:space="0" w:color="auto"/>
        <w:right w:val="none" w:sz="0" w:space="0" w:color="auto"/>
      </w:divBdr>
    </w:div>
    <w:div w:id="1589583042">
      <w:bodyDiv w:val="1"/>
      <w:marLeft w:val="0"/>
      <w:marRight w:val="0"/>
      <w:marTop w:val="0"/>
      <w:marBottom w:val="0"/>
      <w:divBdr>
        <w:top w:val="none" w:sz="0" w:space="0" w:color="auto"/>
        <w:left w:val="none" w:sz="0" w:space="0" w:color="auto"/>
        <w:bottom w:val="none" w:sz="0" w:space="0" w:color="auto"/>
        <w:right w:val="none" w:sz="0" w:space="0" w:color="auto"/>
      </w:divBdr>
    </w:div>
    <w:div w:id="1601913330">
      <w:bodyDiv w:val="1"/>
      <w:marLeft w:val="0"/>
      <w:marRight w:val="0"/>
      <w:marTop w:val="0"/>
      <w:marBottom w:val="0"/>
      <w:divBdr>
        <w:top w:val="none" w:sz="0" w:space="0" w:color="auto"/>
        <w:left w:val="none" w:sz="0" w:space="0" w:color="auto"/>
        <w:bottom w:val="none" w:sz="0" w:space="0" w:color="auto"/>
        <w:right w:val="none" w:sz="0" w:space="0" w:color="auto"/>
      </w:divBdr>
    </w:div>
    <w:div w:id="1629041869">
      <w:bodyDiv w:val="1"/>
      <w:marLeft w:val="0"/>
      <w:marRight w:val="0"/>
      <w:marTop w:val="0"/>
      <w:marBottom w:val="0"/>
      <w:divBdr>
        <w:top w:val="none" w:sz="0" w:space="0" w:color="auto"/>
        <w:left w:val="none" w:sz="0" w:space="0" w:color="auto"/>
        <w:bottom w:val="none" w:sz="0" w:space="0" w:color="auto"/>
        <w:right w:val="none" w:sz="0" w:space="0" w:color="auto"/>
      </w:divBdr>
    </w:div>
    <w:div w:id="1631402748">
      <w:bodyDiv w:val="1"/>
      <w:marLeft w:val="0"/>
      <w:marRight w:val="0"/>
      <w:marTop w:val="0"/>
      <w:marBottom w:val="0"/>
      <w:divBdr>
        <w:top w:val="none" w:sz="0" w:space="0" w:color="auto"/>
        <w:left w:val="none" w:sz="0" w:space="0" w:color="auto"/>
        <w:bottom w:val="none" w:sz="0" w:space="0" w:color="auto"/>
        <w:right w:val="none" w:sz="0" w:space="0" w:color="auto"/>
      </w:divBdr>
    </w:div>
    <w:div w:id="1634672405">
      <w:bodyDiv w:val="1"/>
      <w:marLeft w:val="0"/>
      <w:marRight w:val="0"/>
      <w:marTop w:val="0"/>
      <w:marBottom w:val="0"/>
      <w:divBdr>
        <w:top w:val="none" w:sz="0" w:space="0" w:color="auto"/>
        <w:left w:val="none" w:sz="0" w:space="0" w:color="auto"/>
        <w:bottom w:val="none" w:sz="0" w:space="0" w:color="auto"/>
        <w:right w:val="none" w:sz="0" w:space="0" w:color="auto"/>
      </w:divBdr>
    </w:div>
    <w:div w:id="1652556159">
      <w:bodyDiv w:val="1"/>
      <w:marLeft w:val="0"/>
      <w:marRight w:val="0"/>
      <w:marTop w:val="0"/>
      <w:marBottom w:val="0"/>
      <w:divBdr>
        <w:top w:val="none" w:sz="0" w:space="0" w:color="auto"/>
        <w:left w:val="none" w:sz="0" w:space="0" w:color="auto"/>
        <w:bottom w:val="none" w:sz="0" w:space="0" w:color="auto"/>
        <w:right w:val="none" w:sz="0" w:space="0" w:color="auto"/>
      </w:divBdr>
    </w:div>
    <w:div w:id="1673222143">
      <w:bodyDiv w:val="1"/>
      <w:marLeft w:val="0"/>
      <w:marRight w:val="0"/>
      <w:marTop w:val="0"/>
      <w:marBottom w:val="0"/>
      <w:divBdr>
        <w:top w:val="none" w:sz="0" w:space="0" w:color="auto"/>
        <w:left w:val="none" w:sz="0" w:space="0" w:color="auto"/>
        <w:bottom w:val="none" w:sz="0" w:space="0" w:color="auto"/>
        <w:right w:val="none" w:sz="0" w:space="0" w:color="auto"/>
      </w:divBdr>
    </w:div>
    <w:div w:id="1692953442">
      <w:bodyDiv w:val="1"/>
      <w:marLeft w:val="0"/>
      <w:marRight w:val="0"/>
      <w:marTop w:val="0"/>
      <w:marBottom w:val="0"/>
      <w:divBdr>
        <w:top w:val="none" w:sz="0" w:space="0" w:color="auto"/>
        <w:left w:val="none" w:sz="0" w:space="0" w:color="auto"/>
        <w:bottom w:val="none" w:sz="0" w:space="0" w:color="auto"/>
        <w:right w:val="none" w:sz="0" w:space="0" w:color="auto"/>
      </w:divBdr>
    </w:div>
    <w:div w:id="1709986410">
      <w:bodyDiv w:val="1"/>
      <w:marLeft w:val="0"/>
      <w:marRight w:val="0"/>
      <w:marTop w:val="0"/>
      <w:marBottom w:val="0"/>
      <w:divBdr>
        <w:top w:val="none" w:sz="0" w:space="0" w:color="auto"/>
        <w:left w:val="none" w:sz="0" w:space="0" w:color="auto"/>
        <w:bottom w:val="none" w:sz="0" w:space="0" w:color="auto"/>
        <w:right w:val="none" w:sz="0" w:space="0" w:color="auto"/>
      </w:divBdr>
    </w:div>
    <w:div w:id="1715346746">
      <w:bodyDiv w:val="1"/>
      <w:marLeft w:val="0"/>
      <w:marRight w:val="0"/>
      <w:marTop w:val="0"/>
      <w:marBottom w:val="0"/>
      <w:divBdr>
        <w:top w:val="none" w:sz="0" w:space="0" w:color="auto"/>
        <w:left w:val="none" w:sz="0" w:space="0" w:color="auto"/>
        <w:bottom w:val="none" w:sz="0" w:space="0" w:color="auto"/>
        <w:right w:val="none" w:sz="0" w:space="0" w:color="auto"/>
      </w:divBdr>
    </w:div>
    <w:div w:id="1721443055">
      <w:bodyDiv w:val="1"/>
      <w:marLeft w:val="0"/>
      <w:marRight w:val="0"/>
      <w:marTop w:val="0"/>
      <w:marBottom w:val="0"/>
      <w:divBdr>
        <w:top w:val="none" w:sz="0" w:space="0" w:color="auto"/>
        <w:left w:val="none" w:sz="0" w:space="0" w:color="auto"/>
        <w:bottom w:val="none" w:sz="0" w:space="0" w:color="auto"/>
        <w:right w:val="none" w:sz="0" w:space="0" w:color="auto"/>
      </w:divBdr>
    </w:div>
    <w:div w:id="1740664499">
      <w:bodyDiv w:val="1"/>
      <w:marLeft w:val="0"/>
      <w:marRight w:val="0"/>
      <w:marTop w:val="0"/>
      <w:marBottom w:val="0"/>
      <w:divBdr>
        <w:top w:val="none" w:sz="0" w:space="0" w:color="auto"/>
        <w:left w:val="none" w:sz="0" w:space="0" w:color="auto"/>
        <w:bottom w:val="none" w:sz="0" w:space="0" w:color="auto"/>
        <w:right w:val="none" w:sz="0" w:space="0" w:color="auto"/>
      </w:divBdr>
    </w:div>
    <w:div w:id="1760633476">
      <w:bodyDiv w:val="1"/>
      <w:marLeft w:val="0"/>
      <w:marRight w:val="0"/>
      <w:marTop w:val="0"/>
      <w:marBottom w:val="0"/>
      <w:divBdr>
        <w:top w:val="none" w:sz="0" w:space="0" w:color="auto"/>
        <w:left w:val="none" w:sz="0" w:space="0" w:color="auto"/>
        <w:bottom w:val="none" w:sz="0" w:space="0" w:color="auto"/>
        <w:right w:val="none" w:sz="0" w:space="0" w:color="auto"/>
      </w:divBdr>
    </w:div>
    <w:div w:id="1773281679">
      <w:bodyDiv w:val="1"/>
      <w:marLeft w:val="0"/>
      <w:marRight w:val="0"/>
      <w:marTop w:val="0"/>
      <w:marBottom w:val="0"/>
      <w:divBdr>
        <w:top w:val="none" w:sz="0" w:space="0" w:color="auto"/>
        <w:left w:val="none" w:sz="0" w:space="0" w:color="auto"/>
        <w:bottom w:val="none" w:sz="0" w:space="0" w:color="auto"/>
        <w:right w:val="none" w:sz="0" w:space="0" w:color="auto"/>
      </w:divBdr>
    </w:div>
    <w:div w:id="1789855662">
      <w:bodyDiv w:val="1"/>
      <w:marLeft w:val="0"/>
      <w:marRight w:val="0"/>
      <w:marTop w:val="0"/>
      <w:marBottom w:val="0"/>
      <w:divBdr>
        <w:top w:val="none" w:sz="0" w:space="0" w:color="auto"/>
        <w:left w:val="none" w:sz="0" w:space="0" w:color="auto"/>
        <w:bottom w:val="none" w:sz="0" w:space="0" w:color="auto"/>
        <w:right w:val="none" w:sz="0" w:space="0" w:color="auto"/>
      </w:divBdr>
    </w:div>
    <w:div w:id="1799688236">
      <w:bodyDiv w:val="1"/>
      <w:marLeft w:val="0"/>
      <w:marRight w:val="0"/>
      <w:marTop w:val="0"/>
      <w:marBottom w:val="0"/>
      <w:divBdr>
        <w:top w:val="none" w:sz="0" w:space="0" w:color="auto"/>
        <w:left w:val="none" w:sz="0" w:space="0" w:color="auto"/>
        <w:bottom w:val="none" w:sz="0" w:space="0" w:color="auto"/>
        <w:right w:val="none" w:sz="0" w:space="0" w:color="auto"/>
      </w:divBdr>
    </w:div>
    <w:div w:id="1824346251">
      <w:bodyDiv w:val="1"/>
      <w:marLeft w:val="0"/>
      <w:marRight w:val="0"/>
      <w:marTop w:val="0"/>
      <w:marBottom w:val="0"/>
      <w:divBdr>
        <w:top w:val="none" w:sz="0" w:space="0" w:color="auto"/>
        <w:left w:val="none" w:sz="0" w:space="0" w:color="auto"/>
        <w:bottom w:val="none" w:sz="0" w:space="0" w:color="auto"/>
        <w:right w:val="none" w:sz="0" w:space="0" w:color="auto"/>
      </w:divBdr>
    </w:div>
    <w:div w:id="1832715585">
      <w:bodyDiv w:val="1"/>
      <w:marLeft w:val="0"/>
      <w:marRight w:val="0"/>
      <w:marTop w:val="0"/>
      <w:marBottom w:val="0"/>
      <w:divBdr>
        <w:top w:val="none" w:sz="0" w:space="0" w:color="auto"/>
        <w:left w:val="none" w:sz="0" w:space="0" w:color="auto"/>
        <w:bottom w:val="none" w:sz="0" w:space="0" w:color="auto"/>
        <w:right w:val="none" w:sz="0" w:space="0" w:color="auto"/>
      </w:divBdr>
    </w:div>
    <w:div w:id="1843277059">
      <w:bodyDiv w:val="1"/>
      <w:marLeft w:val="0"/>
      <w:marRight w:val="0"/>
      <w:marTop w:val="0"/>
      <w:marBottom w:val="0"/>
      <w:divBdr>
        <w:top w:val="none" w:sz="0" w:space="0" w:color="auto"/>
        <w:left w:val="none" w:sz="0" w:space="0" w:color="auto"/>
        <w:bottom w:val="none" w:sz="0" w:space="0" w:color="auto"/>
        <w:right w:val="none" w:sz="0" w:space="0" w:color="auto"/>
      </w:divBdr>
    </w:div>
    <w:div w:id="1848598158">
      <w:bodyDiv w:val="1"/>
      <w:marLeft w:val="0"/>
      <w:marRight w:val="0"/>
      <w:marTop w:val="0"/>
      <w:marBottom w:val="0"/>
      <w:divBdr>
        <w:top w:val="none" w:sz="0" w:space="0" w:color="auto"/>
        <w:left w:val="none" w:sz="0" w:space="0" w:color="auto"/>
        <w:bottom w:val="none" w:sz="0" w:space="0" w:color="auto"/>
        <w:right w:val="none" w:sz="0" w:space="0" w:color="auto"/>
      </w:divBdr>
    </w:div>
    <w:div w:id="1849367180">
      <w:bodyDiv w:val="1"/>
      <w:marLeft w:val="0"/>
      <w:marRight w:val="0"/>
      <w:marTop w:val="0"/>
      <w:marBottom w:val="0"/>
      <w:divBdr>
        <w:top w:val="none" w:sz="0" w:space="0" w:color="auto"/>
        <w:left w:val="none" w:sz="0" w:space="0" w:color="auto"/>
        <w:bottom w:val="none" w:sz="0" w:space="0" w:color="auto"/>
        <w:right w:val="none" w:sz="0" w:space="0" w:color="auto"/>
      </w:divBdr>
    </w:div>
    <w:div w:id="1874464076">
      <w:bodyDiv w:val="1"/>
      <w:marLeft w:val="0"/>
      <w:marRight w:val="0"/>
      <w:marTop w:val="0"/>
      <w:marBottom w:val="0"/>
      <w:divBdr>
        <w:top w:val="none" w:sz="0" w:space="0" w:color="auto"/>
        <w:left w:val="none" w:sz="0" w:space="0" w:color="auto"/>
        <w:bottom w:val="none" w:sz="0" w:space="0" w:color="auto"/>
        <w:right w:val="none" w:sz="0" w:space="0" w:color="auto"/>
      </w:divBdr>
    </w:div>
    <w:div w:id="1895071214">
      <w:bodyDiv w:val="1"/>
      <w:marLeft w:val="0"/>
      <w:marRight w:val="0"/>
      <w:marTop w:val="0"/>
      <w:marBottom w:val="0"/>
      <w:divBdr>
        <w:top w:val="none" w:sz="0" w:space="0" w:color="auto"/>
        <w:left w:val="none" w:sz="0" w:space="0" w:color="auto"/>
        <w:bottom w:val="none" w:sz="0" w:space="0" w:color="auto"/>
        <w:right w:val="none" w:sz="0" w:space="0" w:color="auto"/>
      </w:divBdr>
    </w:div>
    <w:div w:id="1900506658">
      <w:bodyDiv w:val="1"/>
      <w:marLeft w:val="0"/>
      <w:marRight w:val="0"/>
      <w:marTop w:val="0"/>
      <w:marBottom w:val="0"/>
      <w:divBdr>
        <w:top w:val="none" w:sz="0" w:space="0" w:color="auto"/>
        <w:left w:val="none" w:sz="0" w:space="0" w:color="auto"/>
        <w:bottom w:val="none" w:sz="0" w:space="0" w:color="auto"/>
        <w:right w:val="none" w:sz="0" w:space="0" w:color="auto"/>
      </w:divBdr>
    </w:div>
    <w:div w:id="1909531222">
      <w:bodyDiv w:val="1"/>
      <w:marLeft w:val="0"/>
      <w:marRight w:val="0"/>
      <w:marTop w:val="0"/>
      <w:marBottom w:val="0"/>
      <w:divBdr>
        <w:top w:val="none" w:sz="0" w:space="0" w:color="auto"/>
        <w:left w:val="none" w:sz="0" w:space="0" w:color="auto"/>
        <w:bottom w:val="none" w:sz="0" w:space="0" w:color="auto"/>
        <w:right w:val="none" w:sz="0" w:space="0" w:color="auto"/>
      </w:divBdr>
    </w:div>
    <w:div w:id="1911843863">
      <w:bodyDiv w:val="1"/>
      <w:marLeft w:val="0"/>
      <w:marRight w:val="0"/>
      <w:marTop w:val="0"/>
      <w:marBottom w:val="0"/>
      <w:divBdr>
        <w:top w:val="none" w:sz="0" w:space="0" w:color="auto"/>
        <w:left w:val="none" w:sz="0" w:space="0" w:color="auto"/>
        <w:bottom w:val="none" w:sz="0" w:space="0" w:color="auto"/>
        <w:right w:val="none" w:sz="0" w:space="0" w:color="auto"/>
      </w:divBdr>
    </w:div>
    <w:div w:id="1924751773">
      <w:bodyDiv w:val="1"/>
      <w:marLeft w:val="0"/>
      <w:marRight w:val="0"/>
      <w:marTop w:val="0"/>
      <w:marBottom w:val="0"/>
      <w:divBdr>
        <w:top w:val="none" w:sz="0" w:space="0" w:color="auto"/>
        <w:left w:val="none" w:sz="0" w:space="0" w:color="auto"/>
        <w:bottom w:val="none" w:sz="0" w:space="0" w:color="auto"/>
        <w:right w:val="none" w:sz="0" w:space="0" w:color="auto"/>
      </w:divBdr>
    </w:div>
    <w:div w:id="1937594242">
      <w:bodyDiv w:val="1"/>
      <w:marLeft w:val="0"/>
      <w:marRight w:val="0"/>
      <w:marTop w:val="0"/>
      <w:marBottom w:val="0"/>
      <w:divBdr>
        <w:top w:val="none" w:sz="0" w:space="0" w:color="auto"/>
        <w:left w:val="none" w:sz="0" w:space="0" w:color="auto"/>
        <w:bottom w:val="none" w:sz="0" w:space="0" w:color="auto"/>
        <w:right w:val="none" w:sz="0" w:space="0" w:color="auto"/>
      </w:divBdr>
    </w:div>
    <w:div w:id="1952274073">
      <w:bodyDiv w:val="1"/>
      <w:marLeft w:val="0"/>
      <w:marRight w:val="0"/>
      <w:marTop w:val="0"/>
      <w:marBottom w:val="0"/>
      <w:divBdr>
        <w:top w:val="none" w:sz="0" w:space="0" w:color="auto"/>
        <w:left w:val="none" w:sz="0" w:space="0" w:color="auto"/>
        <w:bottom w:val="none" w:sz="0" w:space="0" w:color="auto"/>
        <w:right w:val="none" w:sz="0" w:space="0" w:color="auto"/>
      </w:divBdr>
    </w:div>
    <w:div w:id="1964922086">
      <w:bodyDiv w:val="1"/>
      <w:marLeft w:val="0"/>
      <w:marRight w:val="0"/>
      <w:marTop w:val="0"/>
      <w:marBottom w:val="0"/>
      <w:divBdr>
        <w:top w:val="none" w:sz="0" w:space="0" w:color="auto"/>
        <w:left w:val="none" w:sz="0" w:space="0" w:color="auto"/>
        <w:bottom w:val="none" w:sz="0" w:space="0" w:color="auto"/>
        <w:right w:val="none" w:sz="0" w:space="0" w:color="auto"/>
      </w:divBdr>
    </w:div>
    <w:div w:id="1971788257">
      <w:bodyDiv w:val="1"/>
      <w:marLeft w:val="0"/>
      <w:marRight w:val="0"/>
      <w:marTop w:val="0"/>
      <w:marBottom w:val="0"/>
      <w:divBdr>
        <w:top w:val="none" w:sz="0" w:space="0" w:color="auto"/>
        <w:left w:val="none" w:sz="0" w:space="0" w:color="auto"/>
        <w:bottom w:val="none" w:sz="0" w:space="0" w:color="auto"/>
        <w:right w:val="none" w:sz="0" w:space="0" w:color="auto"/>
      </w:divBdr>
    </w:div>
    <w:div w:id="1998538063">
      <w:bodyDiv w:val="1"/>
      <w:marLeft w:val="0"/>
      <w:marRight w:val="0"/>
      <w:marTop w:val="0"/>
      <w:marBottom w:val="0"/>
      <w:divBdr>
        <w:top w:val="none" w:sz="0" w:space="0" w:color="auto"/>
        <w:left w:val="none" w:sz="0" w:space="0" w:color="auto"/>
        <w:bottom w:val="none" w:sz="0" w:space="0" w:color="auto"/>
        <w:right w:val="none" w:sz="0" w:space="0" w:color="auto"/>
      </w:divBdr>
    </w:div>
    <w:div w:id="2034727115">
      <w:bodyDiv w:val="1"/>
      <w:marLeft w:val="0"/>
      <w:marRight w:val="0"/>
      <w:marTop w:val="0"/>
      <w:marBottom w:val="0"/>
      <w:divBdr>
        <w:top w:val="none" w:sz="0" w:space="0" w:color="auto"/>
        <w:left w:val="none" w:sz="0" w:space="0" w:color="auto"/>
        <w:bottom w:val="none" w:sz="0" w:space="0" w:color="auto"/>
        <w:right w:val="none" w:sz="0" w:space="0" w:color="auto"/>
      </w:divBdr>
    </w:div>
    <w:div w:id="2052261831">
      <w:bodyDiv w:val="1"/>
      <w:marLeft w:val="0"/>
      <w:marRight w:val="0"/>
      <w:marTop w:val="0"/>
      <w:marBottom w:val="0"/>
      <w:divBdr>
        <w:top w:val="none" w:sz="0" w:space="0" w:color="auto"/>
        <w:left w:val="none" w:sz="0" w:space="0" w:color="auto"/>
        <w:bottom w:val="none" w:sz="0" w:space="0" w:color="auto"/>
        <w:right w:val="none" w:sz="0" w:space="0" w:color="auto"/>
      </w:divBdr>
    </w:div>
    <w:div w:id="2067341293">
      <w:bodyDiv w:val="1"/>
      <w:marLeft w:val="0"/>
      <w:marRight w:val="0"/>
      <w:marTop w:val="0"/>
      <w:marBottom w:val="0"/>
      <w:divBdr>
        <w:top w:val="none" w:sz="0" w:space="0" w:color="auto"/>
        <w:left w:val="none" w:sz="0" w:space="0" w:color="auto"/>
        <w:bottom w:val="none" w:sz="0" w:space="0" w:color="auto"/>
        <w:right w:val="none" w:sz="0" w:space="0" w:color="auto"/>
      </w:divBdr>
    </w:div>
    <w:div w:id="2084834090">
      <w:bodyDiv w:val="1"/>
      <w:marLeft w:val="0"/>
      <w:marRight w:val="0"/>
      <w:marTop w:val="0"/>
      <w:marBottom w:val="0"/>
      <w:divBdr>
        <w:top w:val="none" w:sz="0" w:space="0" w:color="auto"/>
        <w:left w:val="none" w:sz="0" w:space="0" w:color="auto"/>
        <w:bottom w:val="none" w:sz="0" w:space="0" w:color="auto"/>
        <w:right w:val="none" w:sz="0" w:space="0" w:color="auto"/>
      </w:divBdr>
    </w:div>
    <w:div w:id="2112431762">
      <w:bodyDiv w:val="1"/>
      <w:marLeft w:val="0"/>
      <w:marRight w:val="0"/>
      <w:marTop w:val="0"/>
      <w:marBottom w:val="0"/>
      <w:divBdr>
        <w:top w:val="none" w:sz="0" w:space="0" w:color="auto"/>
        <w:left w:val="none" w:sz="0" w:space="0" w:color="auto"/>
        <w:bottom w:val="none" w:sz="0" w:space="0" w:color="auto"/>
        <w:right w:val="none" w:sz="0" w:space="0" w:color="auto"/>
      </w:divBdr>
    </w:div>
    <w:div w:id="21133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R/TXT/?uri=CELEX:32021R05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C723B-CD6F-46FA-87F4-CD31111A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19</Pages>
  <Words>7167</Words>
  <Characters>40855</Characters>
  <Application>Microsoft Office Word</Application>
  <DocSecurity>0</DocSecurity>
  <Lines>340</Lines>
  <Paragraphs>95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KLINIČKI BOLNIČKI CENTAR ZAGREB</vt:lpstr>
      <vt:lpstr>KLINIČKI BOLNIČKI CENTAR ZAGREB</vt:lpstr>
    </vt:vector>
  </TitlesOfParts>
  <Company>kbc</Company>
  <LinksUpToDate>false</LinksUpToDate>
  <CharactersWithSpaces>47927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BOLNIČKI CENTAR ZAGREB</dc:title>
  <dc:creator>KBC</dc:creator>
  <cp:lastModifiedBy>TOMIĆ HELENA</cp:lastModifiedBy>
  <cp:revision>71</cp:revision>
  <cp:lastPrinted>2022-01-28T12:55:00Z</cp:lastPrinted>
  <dcterms:created xsi:type="dcterms:W3CDTF">2024-01-29T07:13:00Z</dcterms:created>
  <dcterms:modified xsi:type="dcterms:W3CDTF">2024-02-06T14:30:00Z</dcterms:modified>
</cp:coreProperties>
</file>