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CF9D1" w14:textId="77777777" w:rsidR="001715F2" w:rsidRPr="004574A5" w:rsidRDefault="001715F2" w:rsidP="001715F2">
      <w:pPr>
        <w:pStyle w:val="Heading2"/>
      </w:pPr>
      <w:r w:rsidRPr="004574A5">
        <w:t>KLINIČKI BOLNIČKI CENTAR ZAGREB</w:t>
      </w:r>
    </w:p>
    <w:p w14:paraId="46D88604" w14:textId="77777777" w:rsidR="001715F2" w:rsidRPr="004574A5" w:rsidRDefault="001715F2" w:rsidP="001715F2">
      <w:pPr>
        <w:jc w:val="both"/>
        <w:rPr>
          <w:rFonts w:ascii="Times New Roman" w:hAnsi="Times New Roman" w:cs="Times New Roman"/>
          <w:b/>
          <w:sz w:val="24"/>
          <w:szCs w:val="24"/>
        </w:rPr>
      </w:pPr>
      <w:r w:rsidRPr="004574A5">
        <w:rPr>
          <w:rFonts w:ascii="Times New Roman" w:hAnsi="Times New Roman" w:cs="Times New Roman"/>
          <w:b/>
          <w:sz w:val="24"/>
          <w:szCs w:val="24"/>
        </w:rPr>
        <w:t>10000 ZAGREB, Kišpatićeva 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E63FDA" w:rsidRPr="004574A5" w14:paraId="62A5E6CD" w14:textId="77777777" w:rsidTr="00E63FDA">
        <w:tc>
          <w:tcPr>
            <w:tcW w:w="4928" w:type="dxa"/>
          </w:tcPr>
          <w:p w14:paraId="7B9A1F0B" w14:textId="77777777" w:rsidR="00E63FDA" w:rsidRPr="004574A5" w:rsidRDefault="00E63FDA" w:rsidP="00D17014">
            <w:pPr>
              <w:jc w:val="both"/>
              <w:rPr>
                <w:rFonts w:ascii="Times New Roman" w:hAnsi="Times New Roman" w:cs="Times New Roman"/>
                <w:sz w:val="24"/>
                <w:szCs w:val="24"/>
              </w:rPr>
            </w:pPr>
            <w:r w:rsidRPr="004574A5">
              <w:rPr>
                <w:rFonts w:ascii="Times New Roman" w:hAnsi="Times New Roman" w:cs="Times New Roman"/>
                <w:sz w:val="24"/>
                <w:szCs w:val="24"/>
              </w:rPr>
              <w:t>Šifra grada/općine: 133</w:t>
            </w:r>
          </w:p>
        </w:tc>
      </w:tr>
      <w:tr w:rsidR="00E63FDA" w:rsidRPr="004574A5" w14:paraId="7A85F048" w14:textId="77777777" w:rsidTr="00E63FDA">
        <w:tc>
          <w:tcPr>
            <w:tcW w:w="4928" w:type="dxa"/>
          </w:tcPr>
          <w:p w14:paraId="11941F6A" w14:textId="77777777" w:rsidR="00E63FDA" w:rsidRPr="004574A5" w:rsidRDefault="00E63FDA" w:rsidP="00D17014">
            <w:pPr>
              <w:jc w:val="both"/>
              <w:rPr>
                <w:rFonts w:ascii="Times New Roman" w:hAnsi="Times New Roman" w:cs="Times New Roman"/>
                <w:sz w:val="24"/>
                <w:szCs w:val="24"/>
              </w:rPr>
            </w:pPr>
            <w:r w:rsidRPr="004574A5">
              <w:rPr>
                <w:rFonts w:ascii="Times New Roman" w:hAnsi="Times New Roman" w:cs="Times New Roman"/>
                <w:sz w:val="24"/>
                <w:szCs w:val="24"/>
              </w:rPr>
              <w:t>Broj RKP-a: 38069</w:t>
            </w:r>
          </w:p>
        </w:tc>
      </w:tr>
      <w:tr w:rsidR="00E63FDA" w:rsidRPr="004574A5" w14:paraId="21AC9ACE" w14:textId="77777777" w:rsidTr="00E63FDA">
        <w:tc>
          <w:tcPr>
            <w:tcW w:w="4928" w:type="dxa"/>
          </w:tcPr>
          <w:p w14:paraId="7F6004FF" w14:textId="77777777" w:rsidR="00E63FDA" w:rsidRPr="004574A5" w:rsidRDefault="00E63FDA" w:rsidP="00D17014">
            <w:pPr>
              <w:jc w:val="both"/>
              <w:rPr>
                <w:rFonts w:ascii="Times New Roman" w:hAnsi="Times New Roman" w:cs="Times New Roman"/>
                <w:sz w:val="24"/>
                <w:szCs w:val="24"/>
              </w:rPr>
            </w:pPr>
            <w:r w:rsidRPr="004574A5">
              <w:rPr>
                <w:rFonts w:ascii="Times New Roman" w:hAnsi="Times New Roman" w:cs="Times New Roman"/>
                <w:sz w:val="24"/>
                <w:szCs w:val="24"/>
              </w:rPr>
              <w:t>Matični broj: 03270777</w:t>
            </w:r>
          </w:p>
        </w:tc>
      </w:tr>
      <w:tr w:rsidR="00E63FDA" w:rsidRPr="004574A5" w14:paraId="3B16C5F4" w14:textId="77777777" w:rsidTr="00E63FDA">
        <w:tc>
          <w:tcPr>
            <w:tcW w:w="4928" w:type="dxa"/>
          </w:tcPr>
          <w:p w14:paraId="75BBA786" w14:textId="77777777" w:rsidR="00E63FDA" w:rsidRPr="004574A5" w:rsidRDefault="00E63FDA" w:rsidP="00D17014">
            <w:pPr>
              <w:jc w:val="both"/>
              <w:rPr>
                <w:rFonts w:ascii="Times New Roman" w:hAnsi="Times New Roman" w:cs="Times New Roman"/>
                <w:sz w:val="24"/>
                <w:szCs w:val="24"/>
              </w:rPr>
            </w:pPr>
            <w:r w:rsidRPr="004574A5">
              <w:rPr>
                <w:rFonts w:ascii="Times New Roman" w:hAnsi="Times New Roman" w:cs="Times New Roman"/>
                <w:sz w:val="24"/>
                <w:szCs w:val="24"/>
              </w:rPr>
              <w:t>OIB: 46377257342</w:t>
            </w:r>
          </w:p>
        </w:tc>
      </w:tr>
    </w:tbl>
    <w:p w14:paraId="73B4E84C" w14:textId="77777777" w:rsidR="001715F2" w:rsidRDefault="001715F2" w:rsidP="000B62E4">
      <w:pPr>
        <w:spacing w:line="240" w:lineRule="auto"/>
        <w:rPr>
          <w:rFonts w:ascii="Times New Roman" w:hAnsi="Times New Roman" w:cs="Times New Roman"/>
          <w:b/>
          <w:sz w:val="24"/>
          <w:szCs w:val="24"/>
        </w:rPr>
      </w:pPr>
    </w:p>
    <w:p w14:paraId="251D7A42" w14:textId="77777777" w:rsidR="006B6B18" w:rsidRDefault="006B6B18" w:rsidP="000B62E4">
      <w:pPr>
        <w:spacing w:line="240" w:lineRule="auto"/>
        <w:rPr>
          <w:rFonts w:ascii="Times New Roman" w:hAnsi="Times New Roman" w:cs="Times New Roman"/>
          <w:b/>
          <w:sz w:val="24"/>
          <w:szCs w:val="24"/>
        </w:rPr>
      </w:pPr>
    </w:p>
    <w:p w14:paraId="7E409076" w14:textId="1BEE3AC0" w:rsidR="00910A50" w:rsidRDefault="00F471E7" w:rsidP="00E63FDA">
      <w:pPr>
        <w:spacing w:line="240" w:lineRule="auto"/>
        <w:jc w:val="center"/>
        <w:rPr>
          <w:rFonts w:ascii="Times New Roman" w:hAnsi="Times New Roman" w:cs="Times New Roman"/>
          <w:b/>
          <w:sz w:val="24"/>
          <w:szCs w:val="24"/>
        </w:rPr>
      </w:pPr>
      <w:r w:rsidRPr="00624C16">
        <w:rPr>
          <w:rFonts w:ascii="Times New Roman" w:hAnsi="Times New Roman" w:cs="Times New Roman"/>
          <w:b/>
          <w:sz w:val="24"/>
          <w:szCs w:val="24"/>
        </w:rPr>
        <w:t xml:space="preserve">OBRAZLOŽENJE </w:t>
      </w:r>
      <w:r w:rsidR="007D5FB3">
        <w:rPr>
          <w:rFonts w:ascii="Times New Roman" w:hAnsi="Times New Roman" w:cs="Times New Roman"/>
          <w:b/>
          <w:sz w:val="24"/>
          <w:szCs w:val="24"/>
        </w:rPr>
        <w:t>IZVRŠENJA FINANCIJSKOG PLANA ZA</w:t>
      </w:r>
      <w:r w:rsidR="004D5B6C">
        <w:rPr>
          <w:rFonts w:ascii="Times New Roman" w:hAnsi="Times New Roman" w:cs="Times New Roman"/>
          <w:b/>
          <w:sz w:val="24"/>
          <w:szCs w:val="24"/>
        </w:rPr>
        <w:t xml:space="preserve"> 2023. GODINU</w:t>
      </w:r>
    </w:p>
    <w:p w14:paraId="0DF2EB97" w14:textId="77777777" w:rsidR="00910A50" w:rsidRDefault="00910A50" w:rsidP="00C248C9">
      <w:pPr>
        <w:jc w:val="both"/>
        <w:rPr>
          <w:rFonts w:ascii="Times New Roman" w:hAnsi="Times New Roman" w:cs="Times New Roman"/>
          <w:b/>
          <w:sz w:val="24"/>
          <w:szCs w:val="24"/>
        </w:rPr>
      </w:pPr>
    </w:p>
    <w:p w14:paraId="3B44C8E9" w14:textId="25CB813B" w:rsidR="0004041B" w:rsidRPr="006D0C54" w:rsidRDefault="00C248C9" w:rsidP="00C248C9">
      <w:pPr>
        <w:jc w:val="both"/>
        <w:rPr>
          <w:rFonts w:ascii="Times New Roman" w:hAnsi="Times New Roman" w:cs="Times New Roman"/>
          <w:sz w:val="24"/>
          <w:szCs w:val="24"/>
          <w:shd w:val="clear" w:color="auto" w:fill="FFFFFF"/>
        </w:rPr>
      </w:pPr>
      <w:r w:rsidRPr="006D0C54">
        <w:rPr>
          <w:rFonts w:ascii="Times New Roman" w:hAnsi="Times New Roman" w:cs="Times New Roman"/>
          <w:sz w:val="24"/>
          <w:szCs w:val="24"/>
          <w:shd w:val="clear" w:color="auto" w:fill="FFFFFF"/>
        </w:rPr>
        <w:t>Klinički bolnički centar Zagreb je najveća te po broju i raznolikosti zdravstvenih usluga koje pruža jedinstvena zdravstvena ustanova u Republici Hrvatskoj.</w:t>
      </w:r>
      <w:r w:rsidR="007E0299" w:rsidRPr="006D0C54">
        <w:rPr>
          <w:rFonts w:ascii="Times New Roman" w:hAnsi="Times New Roman" w:cs="Times New Roman"/>
          <w:sz w:val="24"/>
          <w:szCs w:val="24"/>
          <w:shd w:val="clear" w:color="auto" w:fill="FFFFFF"/>
        </w:rPr>
        <w:t xml:space="preserve"> </w:t>
      </w:r>
      <w:r w:rsidRPr="006D0C54">
        <w:rPr>
          <w:rFonts w:ascii="Times New Roman" w:hAnsi="Times New Roman" w:cs="Times New Roman"/>
          <w:sz w:val="24"/>
          <w:szCs w:val="24"/>
          <w:shd w:val="clear" w:color="auto" w:fill="FFFFFF"/>
        </w:rPr>
        <w:t>Osim temeljne zdravstvene skrbi koju pruža, KBC Zagreb istražuje najnovije metode liječenja koje, uz poštivanje strogih znanstvenih kriterija, uvodi u svakodnevni rad. To je vidljivo kroz činjenicu da je KBC Zagreb sjedište za </w:t>
      </w:r>
      <w:hyperlink r:id="rId6" w:history="1">
        <w:r w:rsidR="007B7B5E">
          <w:rPr>
            <w:rStyle w:val="Hyperlink"/>
            <w:rFonts w:ascii="Times New Roman" w:hAnsi="Times New Roman" w:cs="Times New Roman"/>
            <w:color w:val="auto"/>
            <w:sz w:val="24"/>
            <w:szCs w:val="24"/>
            <w:u w:val="none"/>
            <w:bdr w:val="none" w:sz="0" w:space="0" w:color="auto" w:frame="1"/>
            <w:shd w:val="clear" w:color="auto" w:fill="FFFFFF"/>
          </w:rPr>
          <w:t>96</w:t>
        </w:r>
        <w:r w:rsidRPr="006D0C54">
          <w:rPr>
            <w:rStyle w:val="Hyperlink"/>
            <w:rFonts w:ascii="Times New Roman" w:hAnsi="Times New Roman" w:cs="Times New Roman"/>
            <w:color w:val="auto"/>
            <w:sz w:val="24"/>
            <w:szCs w:val="24"/>
            <w:u w:val="none"/>
            <w:bdr w:val="none" w:sz="0" w:space="0" w:color="auto" w:frame="1"/>
            <w:shd w:val="clear" w:color="auto" w:fill="FFFFFF"/>
          </w:rPr>
          <w:t xml:space="preserve"> referentna centra Ministarstva zdravstva</w:t>
        </w:r>
      </w:hyperlink>
      <w:r w:rsidRPr="006D0C54">
        <w:rPr>
          <w:rFonts w:ascii="Times New Roman" w:hAnsi="Times New Roman" w:cs="Times New Roman"/>
          <w:sz w:val="24"/>
          <w:szCs w:val="24"/>
          <w:shd w:val="clear" w:color="auto" w:fill="FFFFFF"/>
        </w:rPr>
        <w:t> čija je zadaća trajno praćenje i sustavno promicanje pojedinih područja medicinske struke u našoj zemlji.</w:t>
      </w:r>
    </w:p>
    <w:p w14:paraId="58DC704E" w14:textId="0BA36860" w:rsidR="00E95BFC" w:rsidRPr="006D0C54" w:rsidRDefault="0004041B" w:rsidP="00E95BFC">
      <w:pPr>
        <w:spacing w:after="0" w:line="240" w:lineRule="auto"/>
        <w:jc w:val="both"/>
        <w:rPr>
          <w:rFonts w:ascii="Times New Roman" w:hAnsi="Times New Roman" w:cs="Times New Roman"/>
          <w:sz w:val="24"/>
          <w:szCs w:val="24"/>
        </w:rPr>
      </w:pPr>
      <w:r w:rsidRPr="006D0C54">
        <w:rPr>
          <w:rFonts w:ascii="Times New Roman" w:hAnsi="Times New Roman" w:cs="Times New Roman"/>
          <w:sz w:val="24"/>
          <w:szCs w:val="24"/>
          <w:shd w:val="clear" w:color="auto" w:fill="FFFFFF"/>
        </w:rPr>
        <w:t xml:space="preserve">KBC Zagreb kao proračunski korisnik obvezan je temeljem Zakona o proračunu (NN, broj 144/21) izraditi </w:t>
      </w:r>
      <w:r w:rsidR="00E95BFC" w:rsidRPr="006D0C54">
        <w:rPr>
          <w:rFonts w:ascii="Times New Roman" w:hAnsi="Times New Roman" w:cs="Times New Roman"/>
          <w:sz w:val="24"/>
          <w:szCs w:val="24"/>
          <w:shd w:val="clear" w:color="auto" w:fill="FFFFFF"/>
        </w:rPr>
        <w:t>godišnji izvještaj o izvršenju financijskog plana</w:t>
      </w:r>
      <w:r w:rsidRPr="006D0C54">
        <w:rPr>
          <w:rFonts w:ascii="Times New Roman" w:hAnsi="Times New Roman" w:cs="Times New Roman"/>
          <w:sz w:val="24"/>
          <w:szCs w:val="24"/>
          <w:shd w:val="clear" w:color="auto" w:fill="FFFFFF"/>
        </w:rPr>
        <w:t xml:space="preserve"> </w:t>
      </w:r>
      <w:r w:rsidR="005D087A" w:rsidRPr="006D0C54">
        <w:rPr>
          <w:rFonts w:ascii="Times New Roman" w:hAnsi="Times New Roman" w:cs="Times New Roman"/>
          <w:sz w:val="24"/>
          <w:szCs w:val="24"/>
        </w:rPr>
        <w:t>koji sadrži opći i posebni dio,</w:t>
      </w:r>
      <w:r w:rsidR="00810A7D" w:rsidRPr="006D0C54">
        <w:rPr>
          <w:rFonts w:ascii="Times New Roman" w:hAnsi="Times New Roman" w:cs="Times New Roman"/>
          <w:sz w:val="24"/>
          <w:szCs w:val="24"/>
        </w:rPr>
        <w:t xml:space="preserve"> </w:t>
      </w:r>
      <w:r w:rsidR="00E95BFC" w:rsidRPr="006D0C54">
        <w:rPr>
          <w:rFonts w:ascii="Times New Roman" w:hAnsi="Times New Roman" w:cs="Times New Roman"/>
          <w:sz w:val="24"/>
          <w:szCs w:val="24"/>
        </w:rPr>
        <w:t>obrazloženje i posebne izvještaje. Opći dio polugodišnjeg izvještaja o izvršenju financijskog plana sadrži sažetak Računa prihoda i rashoda i Računa financiranja te Račun prihoda i rashoda i Račun financiranja. Posebni dio polugodišnjeg izvještaja o izvršenju financijskog plana sadrži izvršenje rashoda i izdataka iskazanih po izvorima financiranja i ekonomskoj klasifikaciji, raspoređenih u programe koji se sastoje od aktivnosti i projekata.</w:t>
      </w:r>
    </w:p>
    <w:p w14:paraId="1BCD3C20" w14:textId="77777777" w:rsidR="00E95BFC" w:rsidRPr="006D0C54" w:rsidRDefault="00E95BFC" w:rsidP="00E95BFC">
      <w:pPr>
        <w:spacing w:after="0" w:line="240" w:lineRule="auto"/>
        <w:jc w:val="both"/>
        <w:rPr>
          <w:rFonts w:ascii="Times New Roman" w:hAnsi="Times New Roman" w:cs="Times New Roman"/>
          <w:sz w:val="24"/>
          <w:szCs w:val="24"/>
        </w:rPr>
      </w:pPr>
    </w:p>
    <w:p w14:paraId="2B885EA9" w14:textId="1D50A06F" w:rsidR="00C248C9" w:rsidRPr="006D0C54" w:rsidRDefault="00910A50" w:rsidP="00C248C9">
      <w:pPr>
        <w:jc w:val="both"/>
        <w:rPr>
          <w:rFonts w:ascii="Times New Roman" w:hAnsi="Times New Roman" w:cs="Times New Roman"/>
          <w:sz w:val="24"/>
          <w:szCs w:val="24"/>
        </w:rPr>
      </w:pPr>
      <w:r w:rsidRPr="006D0C54">
        <w:rPr>
          <w:rFonts w:ascii="Times New Roman" w:hAnsi="Times New Roman" w:cs="Times New Roman"/>
          <w:sz w:val="24"/>
          <w:szCs w:val="24"/>
          <w:shd w:val="clear" w:color="auto" w:fill="FFFFFF"/>
        </w:rPr>
        <w:t xml:space="preserve">Prilikom izrade </w:t>
      </w:r>
      <w:r w:rsidR="007D5FB3" w:rsidRPr="006D0C54">
        <w:rPr>
          <w:rFonts w:ascii="Times New Roman" w:hAnsi="Times New Roman" w:cs="Times New Roman"/>
          <w:sz w:val="24"/>
          <w:szCs w:val="24"/>
          <w:shd w:val="clear" w:color="auto" w:fill="FFFFFF"/>
        </w:rPr>
        <w:t>godišnjeg izvještaja o izvršenju</w:t>
      </w:r>
      <w:r w:rsidRPr="006D0C54">
        <w:rPr>
          <w:rFonts w:ascii="Times New Roman" w:hAnsi="Times New Roman" w:cs="Times New Roman"/>
          <w:sz w:val="24"/>
          <w:szCs w:val="24"/>
          <w:shd w:val="clear" w:color="auto" w:fill="FFFFFF"/>
        </w:rPr>
        <w:t xml:space="preserve"> potrebno je osobito obratiti pozornost na p</w:t>
      </w:r>
      <w:r w:rsidR="00C248C9" w:rsidRPr="006D0C54">
        <w:rPr>
          <w:rFonts w:ascii="Times New Roman" w:hAnsi="Times New Roman" w:cs="Times New Roman"/>
          <w:sz w:val="24"/>
          <w:szCs w:val="24"/>
        </w:rPr>
        <w:t xml:space="preserve">osebnost financiranja sustava javnog zdravstva </w:t>
      </w:r>
      <w:r w:rsidRPr="006D0C54">
        <w:rPr>
          <w:rFonts w:ascii="Times New Roman" w:hAnsi="Times New Roman" w:cs="Times New Roman"/>
          <w:sz w:val="24"/>
          <w:szCs w:val="24"/>
        </w:rPr>
        <w:t>koja se očituje u činjenici</w:t>
      </w:r>
      <w:r w:rsidR="00C248C9" w:rsidRPr="006D0C54">
        <w:rPr>
          <w:rFonts w:ascii="Times New Roman" w:hAnsi="Times New Roman" w:cs="Times New Roman"/>
          <w:sz w:val="24"/>
          <w:szCs w:val="24"/>
        </w:rPr>
        <w:t xml:space="preserve"> da se zdravstvene ustanove kao proračunski korisnici ne financiraju po pojedinim vrstama rashoda nego na temelju stvarnog izvršenja usluga, kroz ugovorne odnose s HZZO-om, odnosno državom koja na taj način osigurava građanima pružanje odgovarajuće zdravstvene skrbi. Stoga bolničke zdravstvene ustanove predstavljaju specifične proračunske korisnike sa stanovišta financiranja jer naknadu za svoje rezultate rada ostvaruju putem cijena usluga i programa</w:t>
      </w:r>
      <w:r w:rsidR="00264D98" w:rsidRPr="006D0C54">
        <w:rPr>
          <w:rFonts w:ascii="Times New Roman" w:hAnsi="Times New Roman" w:cs="Times New Roman"/>
          <w:sz w:val="24"/>
          <w:szCs w:val="24"/>
        </w:rPr>
        <w:t>.</w:t>
      </w:r>
    </w:p>
    <w:p w14:paraId="29A4345D" w14:textId="77777777" w:rsidR="000B5068" w:rsidRPr="006D0C54" w:rsidRDefault="000B5068" w:rsidP="000B5068">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Obrazloženje općeg dijela izvještaja o izvršenju financijskog plana sadrži:</w:t>
      </w:r>
    </w:p>
    <w:p w14:paraId="1B79ABC1" w14:textId="77777777" w:rsidR="000B5068" w:rsidRPr="006D0C54" w:rsidRDefault="000B5068" w:rsidP="000B5068">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obrazloženje ostvarenja prihoda i rashoda, primitaka i izdataka</w:t>
      </w:r>
    </w:p>
    <w:p w14:paraId="25BEC808" w14:textId="5DD45E2D" w:rsidR="00D8794D" w:rsidRDefault="000B5068" w:rsidP="00624C16">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 obrazloženje prijenosa sredstava iz prethodne godine i prijenosa sredstava u sljedeću godinu </w:t>
      </w:r>
    </w:p>
    <w:p w14:paraId="372DC5D5" w14:textId="6906F3B5" w:rsidR="009F5356" w:rsidRPr="009F5356" w:rsidRDefault="009F5356" w:rsidP="009F5356">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 </w:t>
      </w:r>
      <w:r w:rsidRPr="009F5356">
        <w:rPr>
          <w:rFonts w:ascii="Times New Roman" w:hAnsi="Times New Roman" w:cs="Times New Roman"/>
          <w:sz w:val="24"/>
          <w:szCs w:val="24"/>
        </w:rPr>
        <w:t>podatke o stanju novčanih sredstava na računima proračunskog korisnika na početku i na kraju proračunske godine</w:t>
      </w:r>
    </w:p>
    <w:p w14:paraId="230CA83C" w14:textId="77777777" w:rsidR="00F27370" w:rsidRDefault="00F27370" w:rsidP="00624C16">
      <w:pPr>
        <w:spacing w:line="240" w:lineRule="auto"/>
        <w:jc w:val="both"/>
        <w:rPr>
          <w:rFonts w:ascii="Times New Roman" w:hAnsi="Times New Roman" w:cs="Times New Roman"/>
          <w:sz w:val="24"/>
          <w:szCs w:val="24"/>
        </w:rPr>
      </w:pPr>
    </w:p>
    <w:p w14:paraId="3ABA2FE4" w14:textId="77777777" w:rsidR="006B6B18" w:rsidRDefault="006B6B18" w:rsidP="00624C16">
      <w:pPr>
        <w:spacing w:line="240" w:lineRule="auto"/>
        <w:jc w:val="both"/>
        <w:rPr>
          <w:rFonts w:ascii="Times New Roman" w:hAnsi="Times New Roman" w:cs="Times New Roman"/>
          <w:sz w:val="24"/>
          <w:szCs w:val="24"/>
        </w:rPr>
      </w:pPr>
    </w:p>
    <w:p w14:paraId="1547E8BB" w14:textId="77777777" w:rsidR="006B6B18" w:rsidRDefault="006B6B18" w:rsidP="00624C16">
      <w:pPr>
        <w:spacing w:line="240" w:lineRule="auto"/>
        <w:jc w:val="both"/>
        <w:rPr>
          <w:rFonts w:ascii="Times New Roman" w:hAnsi="Times New Roman" w:cs="Times New Roman"/>
          <w:sz w:val="24"/>
          <w:szCs w:val="24"/>
        </w:rPr>
      </w:pPr>
    </w:p>
    <w:p w14:paraId="69349E24" w14:textId="77777777" w:rsidR="006B6B18" w:rsidRDefault="006B6B18" w:rsidP="00624C16">
      <w:pPr>
        <w:spacing w:line="240" w:lineRule="auto"/>
        <w:jc w:val="both"/>
        <w:rPr>
          <w:rFonts w:ascii="Times New Roman" w:hAnsi="Times New Roman" w:cs="Times New Roman"/>
          <w:sz w:val="24"/>
          <w:szCs w:val="24"/>
        </w:rPr>
      </w:pPr>
    </w:p>
    <w:p w14:paraId="379ECAA8" w14:textId="77777777" w:rsidR="00F471E7" w:rsidRPr="006D0C54" w:rsidRDefault="00F471E7" w:rsidP="00624C16">
      <w:pPr>
        <w:spacing w:line="240" w:lineRule="auto"/>
        <w:jc w:val="both"/>
        <w:rPr>
          <w:rFonts w:ascii="Times New Roman" w:hAnsi="Times New Roman" w:cs="Times New Roman"/>
          <w:b/>
          <w:sz w:val="24"/>
          <w:szCs w:val="24"/>
        </w:rPr>
      </w:pPr>
      <w:r w:rsidRPr="006D0C54">
        <w:rPr>
          <w:rFonts w:ascii="Times New Roman" w:hAnsi="Times New Roman" w:cs="Times New Roman"/>
          <w:b/>
          <w:sz w:val="24"/>
          <w:szCs w:val="24"/>
        </w:rPr>
        <w:lastRenderedPageBreak/>
        <w:t>PRIHODI I PRIMICI</w:t>
      </w:r>
    </w:p>
    <w:p w14:paraId="61D16619" w14:textId="742CA00E" w:rsidR="004D799B" w:rsidRPr="006D0C54" w:rsidRDefault="004D799B" w:rsidP="004D799B">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U</w:t>
      </w:r>
      <w:r w:rsidR="00624C16" w:rsidRPr="006D0C54">
        <w:rPr>
          <w:rFonts w:ascii="Times New Roman" w:hAnsi="Times New Roman" w:cs="Times New Roman"/>
          <w:sz w:val="24"/>
          <w:szCs w:val="24"/>
        </w:rPr>
        <w:t xml:space="preserve">kupno </w:t>
      </w:r>
      <w:r w:rsidR="000B5068" w:rsidRPr="006D0C54">
        <w:rPr>
          <w:rFonts w:ascii="Times New Roman" w:hAnsi="Times New Roman" w:cs="Times New Roman"/>
          <w:sz w:val="24"/>
          <w:szCs w:val="24"/>
        </w:rPr>
        <w:t>ostvareni</w:t>
      </w:r>
      <w:r w:rsidR="005D087A" w:rsidRPr="006D0C54">
        <w:rPr>
          <w:rFonts w:ascii="Times New Roman" w:hAnsi="Times New Roman" w:cs="Times New Roman"/>
          <w:sz w:val="24"/>
          <w:szCs w:val="24"/>
        </w:rPr>
        <w:t xml:space="preserve"> prihodi i primi</w:t>
      </w:r>
      <w:r w:rsidRPr="006D0C54">
        <w:rPr>
          <w:rFonts w:ascii="Times New Roman" w:hAnsi="Times New Roman" w:cs="Times New Roman"/>
          <w:sz w:val="24"/>
          <w:szCs w:val="24"/>
        </w:rPr>
        <w:t xml:space="preserve">ci za </w:t>
      </w:r>
      <w:r w:rsidR="000B5068" w:rsidRPr="006D0C54">
        <w:rPr>
          <w:rFonts w:ascii="Times New Roman" w:hAnsi="Times New Roman" w:cs="Times New Roman"/>
          <w:sz w:val="24"/>
          <w:szCs w:val="24"/>
        </w:rPr>
        <w:t>razdoblje siječan</w:t>
      </w:r>
      <w:r w:rsidR="00CC41BF" w:rsidRPr="006D0C54">
        <w:rPr>
          <w:rFonts w:ascii="Times New Roman" w:hAnsi="Times New Roman" w:cs="Times New Roman"/>
          <w:sz w:val="24"/>
          <w:szCs w:val="24"/>
        </w:rPr>
        <w:t>j-</w:t>
      </w:r>
      <w:r w:rsidR="00731D7A">
        <w:rPr>
          <w:rFonts w:ascii="Times New Roman" w:hAnsi="Times New Roman" w:cs="Times New Roman"/>
          <w:sz w:val="24"/>
          <w:szCs w:val="24"/>
        </w:rPr>
        <w:t>prosinac</w:t>
      </w:r>
      <w:r w:rsidR="000B5068" w:rsidRPr="006D0C54">
        <w:rPr>
          <w:rFonts w:ascii="Times New Roman" w:hAnsi="Times New Roman" w:cs="Times New Roman"/>
          <w:sz w:val="24"/>
          <w:szCs w:val="24"/>
        </w:rPr>
        <w:t xml:space="preserve"> </w:t>
      </w:r>
      <w:r w:rsidRPr="006D0C54">
        <w:rPr>
          <w:rFonts w:ascii="Times New Roman" w:hAnsi="Times New Roman" w:cs="Times New Roman"/>
          <w:sz w:val="24"/>
          <w:szCs w:val="24"/>
        </w:rPr>
        <w:t xml:space="preserve">2023. godinu iznose </w:t>
      </w:r>
      <w:r w:rsidR="00731D7A">
        <w:rPr>
          <w:rFonts w:ascii="Times New Roman" w:hAnsi="Times New Roman" w:cs="Times New Roman"/>
          <w:sz w:val="24"/>
          <w:szCs w:val="24"/>
        </w:rPr>
        <w:t>566</w:t>
      </w:r>
      <w:r w:rsidR="003B19DC">
        <w:rPr>
          <w:rFonts w:ascii="Times New Roman" w:hAnsi="Times New Roman" w:cs="Times New Roman"/>
          <w:sz w:val="24"/>
          <w:szCs w:val="24"/>
        </w:rPr>
        <w:t>.</w:t>
      </w:r>
      <w:r w:rsidR="00731D7A">
        <w:rPr>
          <w:rFonts w:ascii="Times New Roman" w:hAnsi="Times New Roman" w:cs="Times New Roman"/>
          <w:sz w:val="24"/>
          <w:szCs w:val="24"/>
        </w:rPr>
        <w:t>245</w:t>
      </w:r>
      <w:r w:rsidR="00D736A2" w:rsidRPr="006D0C54">
        <w:rPr>
          <w:rFonts w:ascii="Times New Roman" w:hAnsi="Times New Roman" w:cs="Times New Roman"/>
          <w:sz w:val="24"/>
          <w:szCs w:val="24"/>
        </w:rPr>
        <w:t>.</w:t>
      </w:r>
      <w:r w:rsidR="00731D7A">
        <w:rPr>
          <w:rFonts w:ascii="Times New Roman" w:hAnsi="Times New Roman" w:cs="Times New Roman"/>
          <w:sz w:val="24"/>
          <w:szCs w:val="24"/>
        </w:rPr>
        <w:t>211</w:t>
      </w:r>
      <w:r w:rsidR="00CC41BF" w:rsidRPr="006D0C54">
        <w:rPr>
          <w:rFonts w:ascii="Times New Roman" w:hAnsi="Times New Roman" w:cs="Times New Roman"/>
          <w:sz w:val="24"/>
          <w:szCs w:val="24"/>
        </w:rPr>
        <w:t xml:space="preserve"> EUR</w:t>
      </w:r>
      <w:r w:rsidRPr="006D0C54">
        <w:rPr>
          <w:rFonts w:ascii="Times New Roman" w:hAnsi="Times New Roman" w:cs="Times New Roman"/>
          <w:sz w:val="24"/>
          <w:szCs w:val="24"/>
        </w:rPr>
        <w:t>, a ostvaruju se iz sljedećih izvora financiranja:</w:t>
      </w:r>
    </w:p>
    <w:p w14:paraId="3946A978" w14:textId="17E27837" w:rsidR="004D799B" w:rsidRPr="006D0C54" w:rsidRDefault="004D799B" w:rsidP="004D799B">
      <w:pPr>
        <w:pStyle w:val="ListParagraph"/>
        <w:numPr>
          <w:ilvl w:val="0"/>
          <w:numId w:val="1"/>
        </w:numPr>
        <w:spacing w:line="240" w:lineRule="auto"/>
        <w:rPr>
          <w:rFonts w:ascii="Times New Roman" w:hAnsi="Times New Roman" w:cs="Times New Roman"/>
          <w:sz w:val="24"/>
          <w:szCs w:val="24"/>
        </w:rPr>
      </w:pPr>
      <w:r w:rsidRPr="006D0C54">
        <w:rPr>
          <w:rFonts w:ascii="Times New Roman" w:hAnsi="Times New Roman" w:cs="Times New Roman"/>
          <w:sz w:val="24"/>
          <w:szCs w:val="24"/>
        </w:rPr>
        <w:t xml:space="preserve">Opći prihodi i primici u iznosu od </w:t>
      </w:r>
      <w:r w:rsidR="00731D7A">
        <w:rPr>
          <w:rFonts w:ascii="Times New Roman" w:hAnsi="Times New Roman" w:cs="Times New Roman"/>
          <w:sz w:val="24"/>
          <w:szCs w:val="24"/>
        </w:rPr>
        <w:t>60.588.724</w:t>
      </w:r>
      <w:r w:rsidR="00087FDC" w:rsidRPr="006D0C54">
        <w:rPr>
          <w:rFonts w:ascii="Times New Roman" w:hAnsi="Times New Roman" w:cs="Times New Roman"/>
          <w:sz w:val="24"/>
          <w:szCs w:val="24"/>
        </w:rPr>
        <w:t xml:space="preserve"> </w:t>
      </w:r>
      <w:r w:rsidR="00886A63" w:rsidRPr="006D0C54">
        <w:rPr>
          <w:rFonts w:ascii="Times New Roman" w:hAnsi="Times New Roman" w:cs="Times New Roman"/>
          <w:sz w:val="24"/>
          <w:szCs w:val="24"/>
        </w:rPr>
        <w:t>EUR</w:t>
      </w:r>
    </w:p>
    <w:p w14:paraId="66E03902" w14:textId="21848F18" w:rsidR="004D799B" w:rsidRPr="006D0C54" w:rsidRDefault="004D799B" w:rsidP="004D799B">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Sredstva učešća za pomoći u iznosu od </w:t>
      </w:r>
      <w:r w:rsidR="00BE77D7">
        <w:rPr>
          <w:rFonts w:ascii="Times New Roman" w:hAnsi="Times New Roman" w:cs="Times New Roman"/>
          <w:sz w:val="24"/>
          <w:szCs w:val="24"/>
        </w:rPr>
        <w:t>50.072</w:t>
      </w:r>
      <w:r w:rsidRPr="006D0C54">
        <w:rPr>
          <w:rFonts w:ascii="Times New Roman" w:hAnsi="Times New Roman" w:cs="Times New Roman"/>
          <w:sz w:val="24"/>
          <w:szCs w:val="24"/>
        </w:rPr>
        <w:t xml:space="preserve"> </w:t>
      </w:r>
      <w:r w:rsidR="00886A63" w:rsidRPr="006D0C54">
        <w:rPr>
          <w:rFonts w:ascii="Times New Roman" w:hAnsi="Times New Roman" w:cs="Times New Roman"/>
          <w:sz w:val="24"/>
          <w:szCs w:val="24"/>
        </w:rPr>
        <w:t>EUR</w:t>
      </w:r>
    </w:p>
    <w:p w14:paraId="42F7E874" w14:textId="16AB06C8" w:rsidR="004D799B" w:rsidRPr="006D0C54" w:rsidRDefault="004D799B" w:rsidP="004D799B">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Vlastiti prihodi u iznosu od </w:t>
      </w:r>
      <w:r w:rsidR="00BE77D7">
        <w:rPr>
          <w:rFonts w:ascii="Times New Roman" w:hAnsi="Times New Roman" w:cs="Times New Roman"/>
          <w:sz w:val="24"/>
          <w:szCs w:val="24"/>
        </w:rPr>
        <w:t>14.528.356</w:t>
      </w:r>
      <w:r w:rsidRPr="006D0C54">
        <w:rPr>
          <w:rFonts w:ascii="Times New Roman" w:hAnsi="Times New Roman" w:cs="Times New Roman"/>
          <w:sz w:val="24"/>
          <w:szCs w:val="24"/>
        </w:rPr>
        <w:t xml:space="preserve"> </w:t>
      </w:r>
      <w:r w:rsidR="00886A63" w:rsidRPr="006D0C54">
        <w:rPr>
          <w:rFonts w:ascii="Times New Roman" w:hAnsi="Times New Roman" w:cs="Times New Roman"/>
          <w:sz w:val="24"/>
          <w:szCs w:val="24"/>
        </w:rPr>
        <w:t>EUR</w:t>
      </w:r>
    </w:p>
    <w:p w14:paraId="3B9D851B" w14:textId="3838E62C" w:rsidR="004D799B" w:rsidRDefault="004D799B" w:rsidP="004D799B">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Ostali prihodi za posebne namjene u iznosu od </w:t>
      </w:r>
      <w:r w:rsidR="00BE77D7">
        <w:rPr>
          <w:rFonts w:ascii="Times New Roman" w:hAnsi="Times New Roman" w:cs="Times New Roman"/>
          <w:sz w:val="24"/>
          <w:szCs w:val="24"/>
        </w:rPr>
        <w:t>442.902.377</w:t>
      </w:r>
      <w:r w:rsidRPr="006D0C54">
        <w:rPr>
          <w:rFonts w:ascii="Times New Roman" w:hAnsi="Times New Roman" w:cs="Times New Roman"/>
          <w:sz w:val="24"/>
          <w:szCs w:val="24"/>
        </w:rPr>
        <w:t xml:space="preserve"> </w:t>
      </w:r>
      <w:r w:rsidR="00886A63" w:rsidRPr="006D0C54">
        <w:rPr>
          <w:rFonts w:ascii="Times New Roman" w:hAnsi="Times New Roman" w:cs="Times New Roman"/>
          <w:sz w:val="24"/>
          <w:szCs w:val="24"/>
        </w:rPr>
        <w:t>EUR</w:t>
      </w:r>
    </w:p>
    <w:p w14:paraId="79E2F9FA" w14:textId="5B3CE578" w:rsidR="00BE77D7" w:rsidRPr="006D0C54" w:rsidRDefault="00BE77D7" w:rsidP="004D799B">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Pomoći EU u iznosu od 138.783</w:t>
      </w:r>
    </w:p>
    <w:p w14:paraId="250823EB" w14:textId="727752FD" w:rsidR="004D799B" w:rsidRPr="006D0C54" w:rsidRDefault="00340CE4" w:rsidP="004D799B">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Ostale pomoći u iznosu od </w:t>
      </w:r>
      <w:r w:rsidR="00BE77D7">
        <w:rPr>
          <w:rFonts w:ascii="Times New Roman" w:hAnsi="Times New Roman" w:cs="Times New Roman"/>
          <w:sz w:val="24"/>
          <w:szCs w:val="24"/>
        </w:rPr>
        <w:t xml:space="preserve">32.289.203 </w:t>
      </w:r>
      <w:r w:rsidR="00886A63" w:rsidRPr="006D0C54">
        <w:rPr>
          <w:rFonts w:ascii="Times New Roman" w:hAnsi="Times New Roman" w:cs="Times New Roman"/>
          <w:sz w:val="24"/>
          <w:szCs w:val="24"/>
        </w:rPr>
        <w:t>EUR</w:t>
      </w:r>
    </w:p>
    <w:p w14:paraId="4456B04F" w14:textId="474027C6" w:rsidR="004D799B" w:rsidRPr="006D0C54" w:rsidRDefault="004D799B" w:rsidP="004D799B">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Europski fond za regionalni razvoj u iznosu od </w:t>
      </w:r>
      <w:r w:rsidR="00A45DDD">
        <w:rPr>
          <w:rFonts w:ascii="Times New Roman" w:hAnsi="Times New Roman" w:cs="Times New Roman"/>
          <w:sz w:val="24"/>
          <w:szCs w:val="24"/>
        </w:rPr>
        <w:t>2</w:t>
      </w:r>
      <w:r w:rsidR="00340CE4" w:rsidRPr="006D0C54">
        <w:rPr>
          <w:rFonts w:ascii="Times New Roman" w:hAnsi="Times New Roman" w:cs="Times New Roman"/>
          <w:sz w:val="24"/>
          <w:szCs w:val="24"/>
        </w:rPr>
        <w:t>8.</w:t>
      </w:r>
      <w:r w:rsidR="00A45DDD">
        <w:rPr>
          <w:rFonts w:ascii="Times New Roman" w:hAnsi="Times New Roman" w:cs="Times New Roman"/>
          <w:sz w:val="24"/>
          <w:szCs w:val="24"/>
        </w:rPr>
        <w:t>740</w:t>
      </w:r>
      <w:r w:rsidR="00722153" w:rsidRPr="006D0C54">
        <w:rPr>
          <w:rFonts w:ascii="Times New Roman" w:hAnsi="Times New Roman" w:cs="Times New Roman"/>
          <w:sz w:val="24"/>
          <w:szCs w:val="24"/>
        </w:rPr>
        <w:t xml:space="preserve"> </w:t>
      </w:r>
      <w:r w:rsidR="00886A63" w:rsidRPr="006D0C54">
        <w:rPr>
          <w:rFonts w:ascii="Times New Roman" w:hAnsi="Times New Roman" w:cs="Times New Roman"/>
          <w:sz w:val="24"/>
          <w:szCs w:val="24"/>
        </w:rPr>
        <w:t>EUR</w:t>
      </w:r>
    </w:p>
    <w:p w14:paraId="4CB69A8B" w14:textId="77777777" w:rsidR="00722153" w:rsidRPr="006D0C54" w:rsidRDefault="00722153" w:rsidP="00722153">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Fond solidarnosti Europske unije - potres ožujak 2020 u iznosu od </w:t>
      </w:r>
      <w:r w:rsidR="00A71068" w:rsidRPr="006D0C54">
        <w:rPr>
          <w:rFonts w:ascii="Times New Roman" w:hAnsi="Times New Roman" w:cs="Times New Roman"/>
          <w:sz w:val="24"/>
          <w:szCs w:val="24"/>
        </w:rPr>
        <w:t>15.6</w:t>
      </w:r>
      <w:r w:rsidR="002764E4" w:rsidRPr="006D0C54">
        <w:rPr>
          <w:rFonts w:ascii="Times New Roman" w:hAnsi="Times New Roman" w:cs="Times New Roman"/>
          <w:sz w:val="24"/>
          <w:szCs w:val="24"/>
        </w:rPr>
        <w:t>81</w:t>
      </w:r>
      <w:r w:rsidR="00340CE4" w:rsidRPr="006D0C54">
        <w:rPr>
          <w:rFonts w:ascii="Times New Roman" w:hAnsi="Times New Roman" w:cs="Times New Roman"/>
          <w:sz w:val="24"/>
          <w:szCs w:val="24"/>
        </w:rPr>
        <w:t>.</w:t>
      </w:r>
      <w:r w:rsidR="002764E4" w:rsidRPr="006D0C54">
        <w:rPr>
          <w:rFonts w:ascii="Times New Roman" w:hAnsi="Times New Roman" w:cs="Times New Roman"/>
          <w:sz w:val="24"/>
          <w:szCs w:val="24"/>
        </w:rPr>
        <w:t>608</w:t>
      </w:r>
      <w:r w:rsidR="00977BB5" w:rsidRPr="006D0C54">
        <w:rPr>
          <w:rFonts w:ascii="Times New Roman" w:hAnsi="Times New Roman" w:cs="Times New Roman"/>
          <w:sz w:val="24"/>
          <w:szCs w:val="24"/>
        </w:rPr>
        <w:t xml:space="preserve"> </w:t>
      </w:r>
      <w:r w:rsidR="00340CE4" w:rsidRPr="006D0C54">
        <w:rPr>
          <w:rFonts w:ascii="Times New Roman" w:hAnsi="Times New Roman" w:cs="Times New Roman"/>
          <w:sz w:val="24"/>
          <w:szCs w:val="24"/>
        </w:rPr>
        <w:t>EUR</w:t>
      </w:r>
    </w:p>
    <w:p w14:paraId="1453AA27" w14:textId="6A1C02CD" w:rsidR="00722153" w:rsidRPr="006D0C54" w:rsidRDefault="00722153" w:rsidP="00722153">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Donacije u iznosu od </w:t>
      </w:r>
      <w:r w:rsidR="00527AE3">
        <w:rPr>
          <w:rFonts w:ascii="Times New Roman" w:hAnsi="Times New Roman" w:cs="Times New Roman"/>
          <w:sz w:val="24"/>
          <w:szCs w:val="24"/>
        </w:rPr>
        <w:t>70.052</w:t>
      </w:r>
      <w:r w:rsidRPr="006D0C54">
        <w:rPr>
          <w:rFonts w:ascii="Times New Roman" w:hAnsi="Times New Roman" w:cs="Times New Roman"/>
          <w:sz w:val="24"/>
          <w:szCs w:val="24"/>
        </w:rPr>
        <w:t xml:space="preserve"> </w:t>
      </w:r>
      <w:r w:rsidR="00977A2C" w:rsidRPr="006D0C54">
        <w:rPr>
          <w:rFonts w:ascii="Times New Roman" w:hAnsi="Times New Roman" w:cs="Times New Roman"/>
          <w:sz w:val="24"/>
          <w:szCs w:val="24"/>
        </w:rPr>
        <w:t>EUR</w:t>
      </w:r>
    </w:p>
    <w:p w14:paraId="68B363F8" w14:textId="12DCE997" w:rsidR="00722153" w:rsidRPr="006D0C54" w:rsidRDefault="00722153" w:rsidP="00722153">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Prihodi od nefinancijske imovine i naknade šteta s osnova osiguranja u iznosu od </w:t>
      </w:r>
      <w:r w:rsidR="003B19DC">
        <w:rPr>
          <w:rFonts w:ascii="Times New Roman" w:hAnsi="Times New Roman" w:cs="Times New Roman"/>
          <w:sz w:val="24"/>
          <w:szCs w:val="24"/>
        </w:rPr>
        <w:t>12.296</w:t>
      </w:r>
      <w:r w:rsidR="00977A2C" w:rsidRPr="006D0C54">
        <w:rPr>
          <w:rFonts w:ascii="Times New Roman" w:hAnsi="Times New Roman" w:cs="Times New Roman"/>
          <w:sz w:val="24"/>
          <w:szCs w:val="24"/>
        </w:rPr>
        <w:t xml:space="preserve"> EUR</w:t>
      </w:r>
    </w:p>
    <w:p w14:paraId="450F1E13" w14:textId="656C89C6" w:rsidR="000D1788" w:rsidRPr="00213E64" w:rsidRDefault="00103BAE" w:rsidP="00213E64">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Izvori financiranja opći prihodi i primici i ostali prihodi za posebne namjene</w:t>
      </w:r>
      <w:r w:rsidR="00E7152D" w:rsidRPr="006D0C54">
        <w:rPr>
          <w:rFonts w:ascii="Times New Roman" w:hAnsi="Times New Roman" w:cs="Times New Roman"/>
          <w:sz w:val="24"/>
          <w:szCs w:val="24"/>
        </w:rPr>
        <w:t xml:space="preserve"> </w:t>
      </w:r>
      <w:r w:rsidR="00B4381C" w:rsidRPr="006D0C54">
        <w:rPr>
          <w:rFonts w:ascii="Times New Roman" w:hAnsi="Times New Roman" w:cs="Times New Roman"/>
          <w:sz w:val="24"/>
          <w:szCs w:val="24"/>
        </w:rPr>
        <w:t xml:space="preserve">(prihodi od HZZO-a) </w:t>
      </w:r>
      <w:r w:rsidR="007E66AF" w:rsidRPr="006D0C54">
        <w:rPr>
          <w:rFonts w:ascii="Times New Roman" w:hAnsi="Times New Roman" w:cs="Times New Roman"/>
          <w:sz w:val="24"/>
          <w:szCs w:val="24"/>
        </w:rPr>
        <w:t>ostvareni</w:t>
      </w:r>
      <w:r w:rsidR="00E7152D" w:rsidRPr="006D0C54">
        <w:rPr>
          <w:rFonts w:ascii="Times New Roman" w:hAnsi="Times New Roman" w:cs="Times New Roman"/>
          <w:sz w:val="24"/>
          <w:szCs w:val="24"/>
        </w:rPr>
        <w:t xml:space="preserve"> su na temelju dodijeljenih limita od strane Ministarstva zdravstva</w:t>
      </w:r>
      <w:r w:rsidR="00213E64">
        <w:rPr>
          <w:rFonts w:ascii="Times New Roman" w:hAnsi="Times New Roman" w:cs="Times New Roman"/>
          <w:sz w:val="24"/>
          <w:szCs w:val="24"/>
        </w:rPr>
        <w:t xml:space="preserve">, </w:t>
      </w:r>
      <w:r w:rsidR="007E66AF" w:rsidRPr="006D0C54">
        <w:rPr>
          <w:rFonts w:ascii="Times New Roman" w:hAnsi="Times New Roman" w:cs="Times New Roman"/>
          <w:sz w:val="24"/>
          <w:szCs w:val="24"/>
        </w:rPr>
        <w:t>odobrenog Financijskog plana u sklopu usvojenog Državnog proračuna za 2023. godinu i pro</w:t>
      </w:r>
      <w:r w:rsidR="00213E64">
        <w:rPr>
          <w:rFonts w:ascii="Times New Roman" w:hAnsi="Times New Roman" w:cs="Times New Roman"/>
          <w:sz w:val="24"/>
          <w:szCs w:val="24"/>
        </w:rPr>
        <w:t>jekcija za 2024. i 2025. godinu te</w:t>
      </w:r>
      <w:r w:rsidR="00213E64" w:rsidRPr="00213E64">
        <w:rPr>
          <w:rFonts w:ascii="Tahoma" w:hAnsi="Tahoma" w:cs="Tahoma"/>
        </w:rPr>
        <w:t xml:space="preserve"> </w:t>
      </w:r>
      <w:r w:rsidR="00213E64" w:rsidRPr="00213E64">
        <w:rPr>
          <w:rFonts w:ascii="Times New Roman" w:hAnsi="Times New Roman" w:cs="Times New Roman"/>
          <w:sz w:val="24"/>
          <w:szCs w:val="24"/>
        </w:rPr>
        <w:t>doznačenih dodatnih sredstava, sukladno Odlukama Vlade Republike Hrvatske</w:t>
      </w:r>
      <w:r w:rsidR="00213E64">
        <w:rPr>
          <w:rFonts w:ascii="Times New Roman" w:hAnsi="Times New Roman" w:cs="Times New Roman"/>
          <w:sz w:val="24"/>
          <w:szCs w:val="24"/>
        </w:rPr>
        <w:t xml:space="preserve">, za podmirivanje dijela dospjelih obveza </w:t>
      </w:r>
      <w:r w:rsidR="00213E64" w:rsidRPr="00213E64">
        <w:rPr>
          <w:rFonts w:ascii="Times New Roman" w:hAnsi="Times New Roman" w:cs="Times New Roman"/>
          <w:sz w:val="24"/>
          <w:szCs w:val="24"/>
        </w:rPr>
        <w:t xml:space="preserve">prema dobavljačima lijekova, potrošnog i </w:t>
      </w:r>
      <w:proofErr w:type="spellStart"/>
      <w:r w:rsidR="00213E64" w:rsidRPr="00213E64">
        <w:rPr>
          <w:rFonts w:ascii="Times New Roman" w:hAnsi="Times New Roman" w:cs="Times New Roman"/>
          <w:sz w:val="24"/>
          <w:szCs w:val="24"/>
        </w:rPr>
        <w:t>ugradbenog</w:t>
      </w:r>
      <w:proofErr w:type="spellEnd"/>
      <w:r w:rsidR="00213E64" w:rsidRPr="00213E64">
        <w:rPr>
          <w:rFonts w:ascii="Times New Roman" w:hAnsi="Times New Roman" w:cs="Times New Roman"/>
          <w:sz w:val="24"/>
          <w:szCs w:val="24"/>
        </w:rPr>
        <w:t xml:space="preserve"> medicinskog materijala</w:t>
      </w:r>
      <w:r w:rsidR="00213E64">
        <w:rPr>
          <w:rFonts w:ascii="Times New Roman" w:hAnsi="Times New Roman" w:cs="Times New Roman"/>
          <w:sz w:val="24"/>
          <w:szCs w:val="24"/>
        </w:rPr>
        <w:t>.</w:t>
      </w:r>
    </w:p>
    <w:p w14:paraId="700197D7" w14:textId="059CDF99" w:rsidR="000D1788" w:rsidRPr="006D0C54" w:rsidRDefault="0063229B" w:rsidP="00624C16">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Ostvarenje v</w:t>
      </w:r>
      <w:r w:rsidR="00A467E7" w:rsidRPr="006D0C54">
        <w:rPr>
          <w:rFonts w:ascii="Times New Roman" w:hAnsi="Times New Roman" w:cs="Times New Roman"/>
          <w:sz w:val="24"/>
          <w:szCs w:val="24"/>
        </w:rPr>
        <w:t>lastiti</w:t>
      </w:r>
      <w:r w:rsidRPr="006D0C54">
        <w:rPr>
          <w:rFonts w:ascii="Times New Roman" w:hAnsi="Times New Roman" w:cs="Times New Roman"/>
          <w:sz w:val="24"/>
          <w:szCs w:val="24"/>
        </w:rPr>
        <w:t xml:space="preserve">h prihoda </w:t>
      </w:r>
      <w:r w:rsidR="00A467E7" w:rsidRPr="006D0C54">
        <w:rPr>
          <w:rFonts w:ascii="Times New Roman" w:hAnsi="Times New Roman" w:cs="Times New Roman"/>
          <w:sz w:val="24"/>
          <w:szCs w:val="24"/>
        </w:rPr>
        <w:t>odnos</w:t>
      </w:r>
      <w:r w:rsidR="00F93107" w:rsidRPr="006D0C54">
        <w:rPr>
          <w:rFonts w:ascii="Times New Roman" w:hAnsi="Times New Roman" w:cs="Times New Roman"/>
          <w:sz w:val="24"/>
          <w:szCs w:val="24"/>
        </w:rPr>
        <w:t>i</w:t>
      </w:r>
      <w:r w:rsidR="00A467E7" w:rsidRPr="006D0C54">
        <w:rPr>
          <w:rFonts w:ascii="Times New Roman" w:hAnsi="Times New Roman" w:cs="Times New Roman"/>
          <w:sz w:val="24"/>
          <w:szCs w:val="24"/>
        </w:rPr>
        <w:t xml:space="preserve"> se na </w:t>
      </w:r>
      <w:r w:rsidR="00F93107" w:rsidRPr="006D0C54">
        <w:rPr>
          <w:rFonts w:ascii="Times New Roman" w:hAnsi="Times New Roman" w:cs="Times New Roman"/>
          <w:sz w:val="24"/>
          <w:szCs w:val="24"/>
        </w:rPr>
        <w:t xml:space="preserve">prihode od </w:t>
      </w:r>
      <w:r w:rsidR="00A467E7" w:rsidRPr="006D0C54">
        <w:rPr>
          <w:rFonts w:ascii="Times New Roman" w:hAnsi="Times New Roman" w:cs="Times New Roman"/>
          <w:sz w:val="24"/>
          <w:szCs w:val="24"/>
        </w:rPr>
        <w:t>pružen</w:t>
      </w:r>
      <w:r w:rsidR="00F93107" w:rsidRPr="006D0C54">
        <w:rPr>
          <w:rFonts w:ascii="Times New Roman" w:hAnsi="Times New Roman" w:cs="Times New Roman"/>
          <w:sz w:val="24"/>
          <w:szCs w:val="24"/>
        </w:rPr>
        <w:t>ih medicinskih</w:t>
      </w:r>
      <w:r w:rsidR="00A467E7" w:rsidRPr="006D0C54">
        <w:rPr>
          <w:rFonts w:ascii="Times New Roman" w:hAnsi="Times New Roman" w:cs="Times New Roman"/>
          <w:sz w:val="24"/>
          <w:szCs w:val="24"/>
        </w:rPr>
        <w:t xml:space="preserve"> i nemedicinsk</w:t>
      </w:r>
      <w:r w:rsidR="00F93107" w:rsidRPr="006D0C54">
        <w:rPr>
          <w:rFonts w:ascii="Times New Roman" w:hAnsi="Times New Roman" w:cs="Times New Roman"/>
          <w:sz w:val="24"/>
          <w:szCs w:val="24"/>
        </w:rPr>
        <w:t>ih</w:t>
      </w:r>
      <w:r w:rsidR="00A467E7" w:rsidRPr="006D0C54">
        <w:rPr>
          <w:rFonts w:ascii="Times New Roman" w:hAnsi="Times New Roman" w:cs="Times New Roman"/>
          <w:sz w:val="24"/>
          <w:szCs w:val="24"/>
        </w:rPr>
        <w:t xml:space="preserve"> uslug</w:t>
      </w:r>
      <w:r w:rsidR="00F93107" w:rsidRPr="006D0C54">
        <w:rPr>
          <w:rFonts w:ascii="Times New Roman" w:hAnsi="Times New Roman" w:cs="Times New Roman"/>
          <w:sz w:val="24"/>
          <w:szCs w:val="24"/>
        </w:rPr>
        <w:t>a</w:t>
      </w:r>
      <w:r w:rsidR="00A467E7" w:rsidRPr="006D0C54">
        <w:rPr>
          <w:rFonts w:ascii="Times New Roman" w:hAnsi="Times New Roman" w:cs="Times New Roman"/>
          <w:sz w:val="24"/>
          <w:szCs w:val="24"/>
        </w:rPr>
        <w:t xml:space="preserve"> drugim suradnim ustanovama, prihode od pravnih i fizičkih osoba, prihode od kliničkih ispitivanja, prihode od zakupa prostora, apartmana, tečajeva i sl.</w:t>
      </w:r>
      <w:r w:rsidR="00B91F15" w:rsidRPr="00B91F15">
        <w:rPr>
          <w:rFonts w:ascii="Tahoma" w:eastAsia="Times New Roman" w:hAnsi="Tahoma" w:cs="Tahoma"/>
        </w:rPr>
        <w:t xml:space="preserve"> </w:t>
      </w:r>
      <w:r w:rsidR="00B91F15" w:rsidRPr="00B91F15">
        <w:rPr>
          <w:rFonts w:ascii="Times New Roman" w:hAnsi="Times New Roman" w:cs="Times New Roman"/>
          <w:sz w:val="24"/>
          <w:szCs w:val="24"/>
        </w:rPr>
        <w:t xml:space="preserve">Povećanje prihoda od pruženih usluga u razdoblju siječanj-prosinac 2023. godine u odnosu na isto razdoblje prethodne godine iznosi 24%, a rezultat je više ostvarenih prihoda za zdravstvene usluge od fizičkih i pravnih osoba te </w:t>
      </w:r>
      <w:proofErr w:type="spellStart"/>
      <w:r w:rsidR="00B91F15" w:rsidRPr="00B91F15">
        <w:rPr>
          <w:rFonts w:ascii="Times New Roman" w:hAnsi="Times New Roman" w:cs="Times New Roman"/>
          <w:sz w:val="24"/>
          <w:szCs w:val="24"/>
        </w:rPr>
        <w:t>suradnih</w:t>
      </w:r>
      <w:proofErr w:type="spellEnd"/>
      <w:r w:rsidR="00B91F15" w:rsidRPr="00B91F15">
        <w:rPr>
          <w:rFonts w:ascii="Times New Roman" w:hAnsi="Times New Roman" w:cs="Times New Roman"/>
          <w:sz w:val="24"/>
          <w:szCs w:val="24"/>
        </w:rPr>
        <w:t xml:space="preserve"> zdravstvenih ustanova.</w:t>
      </w:r>
      <w:r w:rsidR="007407C9" w:rsidRPr="006D0C54">
        <w:rPr>
          <w:rFonts w:ascii="Times New Roman" w:hAnsi="Times New Roman" w:cs="Times New Roman"/>
          <w:sz w:val="24"/>
          <w:szCs w:val="24"/>
        </w:rPr>
        <w:t xml:space="preserve"> </w:t>
      </w:r>
    </w:p>
    <w:p w14:paraId="082B0440" w14:textId="470C2628" w:rsidR="00456BD7" w:rsidRPr="006D0C54" w:rsidRDefault="00456BD7" w:rsidP="00DF7EAD">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Prihodi iz o</w:t>
      </w:r>
      <w:r w:rsidR="007407C9" w:rsidRPr="006D0C54">
        <w:rPr>
          <w:rFonts w:ascii="Times New Roman" w:hAnsi="Times New Roman" w:cs="Times New Roman"/>
          <w:sz w:val="24"/>
          <w:szCs w:val="24"/>
        </w:rPr>
        <w:t xml:space="preserve">stalih pomoći </w:t>
      </w:r>
      <w:r w:rsidRPr="006D0C54">
        <w:rPr>
          <w:rFonts w:ascii="Times New Roman" w:hAnsi="Times New Roman" w:cs="Times New Roman"/>
          <w:sz w:val="24"/>
          <w:szCs w:val="24"/>
        </w:rPr>
        <w:t>ostvareni su</w:t>
      </w:r>
      <w:r w:rsidR="007407C9" w:rsidRPr="006D0C54">
        <w:rPr>
          <w:rFonts w:ascii="Times New Roman" w:hAnsi="Times New Roman" w:cs="Times New Roman"/>
          <w:sz w:val="24"/>
          <w:szCs w:val="24"/>
        </w:rPr>
        <w:t xml:space="preserve"> u skladu s </w:t>
      </w:r>
      <w:r w:rsidR="00DF7EAD" w:rsidRPr="00DF7EAD">
        <w:rPr>
          <w:rFonts w:ascii="Times New Roman" w:hAnsi="Times New Roman" w:cs="Times New Roman"/>
          <w:sz w:val="24"/>
          <w:szCs w:val="24"/>
        </w:rPr>
        <w:t>primljeni</w:t>
      </w:r>
      <w:r w:rsidR="00DF7EAD">
        <w:rPr>
          <w:rFonts w:ascii="Times New Roman" w:hAnsi="Times New Roman" w:cs="Times New Roman"/>
          <w:sz w:val="24"/>
          <w:szCs w:val="24"/>
        </w:rPr>
        <w:t>m</w:t>
      </w:r>
      <w:r w:rsidR="00D01241">
        <w:rPr>
          <w:rFonts w:ascii="Times New Roman" w:hAnsi="Times New Roman" w:cs="Times New Roman"/>
          <w:sz w:val="24"/>
          <w:szCs w:val="24"/>
        </w:rPr>
        <w:t xml:space="preserve"> sredstvima</w:t>
      </w:r>
      <w:r w:rsidR="00DF7EAD" w:rsidRPr="00DF7EAD">
        <w:rPr>
          <w:rFonts w:ascii="Times New Roman" w:hAnsi="Times New Roman" w:cs="Times New Roman"/>
          <w:sz w:val="24"/>
          <w:szCs w:val="24"/>
        </w:rPr>
        <w:t xml:space="preserve"> od HZZO-a </w:t>
      </w:r>
      <w:r w:rsidR="00D01241">
        <w:rPr>
          <w:rFonts w:ascii="Times New Roman" w:hAnsi="Times New Roman" w:cs="Times New Roman"/>
          <w:sz w:val="24"/>
          <w:szCs w:val="24"/>
        </w:rPr>
        <w:t>temeljem Odluka</w:t>
      </w:r>
      <w:r w:rsidR="00DF7EAD" w:rsidRPr="00DF7EAD">
        <w:rPr>
          <w:rFonts w:ascii="Times New Roman" w:hAnsi="Times New Roman" w:cs="Times New Roman"/>
          <w:sz w:val="24"/>
          <w:szCs w:val="24"/>
        </w:rPr>
        <w:t xml:space="preserve"> Vlade Republike Hrvatske o isplati namjenske pomoći za podmirivanje dijela dospjelih obveza bolničkih zdravstvenih ustanova. </w:t>
      </w:r>
      <w:r w:rsidR="00DF7EAD">
        <w:rPr>
          <w:rFonts w:ascii="Times New Roman" w:hAnsi="Times New Roman" w:cs="Times New Roman"/>
          <w:sz w:val="24"/>
          <w:szCs w:val="24"/>
        </w:rPr>
        <w:t xml:space="preserve">Prihodi iz ostalih pomoći ostvareni su i u skladu s </w:t>
      </w:r>
      <w:r w:rsidR="007407C9" w:rsidRPr="006D0C54">
        <w:rPr>
          <w:rFonts w:ascii="Times New Roman" w:hAnsi="Times New Roman" w:cs="Times New Roman"/>
          <w:sz w:val="24"/>
          <w:szCs w:val="24"/>
        </w:rPr>
        <w:t>Odlukom Vlade Republike Hrvatske (Narodne novine, broj 136/20) o posebnoj nagradi radnicima u sustavu zdravstva koji obavljaju poslove vezane za pružanje zdravstvene skrbi pacijentima oboljelima od bolesti COVID-I9, a temeljem koje zdravstvene ustanove djelatnicima koji obavljaju takve poslove isplaćuju posebnu nagradu. Sredstva su osigurana od strane HZZO-a.</w:t>
      </w:r>
      <w:r w:rsidR="00F268E6" w:rsidRPr="006D0C54">
        <w:rPr>
          <w:rFonts w:ascii="Times New Roman" w:hAnsi="Times New Roman" w:cs="Times New Roman"/>
          <w:sz w:val="24"/>
          <w:szCs w:val="24"/>
        </w:rPr>
        <w:t xml:space="preserve"> </w:t>
      </w:r>
      <w:r w:rsidR="00DF7EAD">
        <w:rPr>
          <w:rFonts w:ascii="Times New Roman" w:hAnsi="Times New Roman" w:cs="Times New Roman"/>
          <w:sz w:val="24"/>
          <w:szCs w:val="24"/>
        </w:rPr>
        <w:t xml:space="preserve">Navedeni prihodi </w:t>
      </w:r>
      <w:r w:rsidR="00DF7EAD" w:rsidRPr="00DF7EAD">
        <w:rPr>
          <w:rFonts w:ascii="Times New Roman" w:hAnsi="Times New Roman" w:cs="Times New Roman"/>
          <w:sz w:val="24"/>
          <w:szCs w:val="24"/>
        </w:rPr>
        <w:t xml:space="preserve">odnose se i na sredstva primljena od Hrvatskog zavoda za zapošljavanje, a prema Ugovorima o dodjeli državne potpore za sufinanciranje zapošljavanja za stjecanje prvog radnog iskustva/pripravništva sklopljenim između Hrvatskog zavoda </w:t>
      </w:r>
      <w:r w:rsidR="00DF7EAD">
        <w:rPr>
          <w:rFonts w:ascii="Times New Roman" w:hAnsi="Times New Roman" w:cs="Times New Roman"/>
          <w:sz w:val="24"/>
          <w:szCs w:val="24"/>
        </w:rPr>
        <w:t>za zapošljavanje i KBC-a Zagreb.</w:t>
      </w:r>
    </w:p>
    <w:p w14:paraId="754EC983" w14:textId="566D8C4F" w:rsidR="000D1788" w:rsidRPr="006D0C54" w:rsidRDefault="0080025C" w:rsidP="00624C16">
      <w:pPr>
        <w:spacing w:line="240" w:lineRule="auto"/>
        <w:jc w:val="both"/>
        <w:rPr>
          <w:rFonts w:ascii="Times New Roman" w:hAnsi="Times New Roman" w:cs="Times New Roman"/>
          <w:sz w:val="24"/>
          <w:szCs w:val="24"/>
        </w:rPr>
      </w:pPr>
      <w:r w:rsidRPr="00E90A50">
        <w:rPr>
          <w:rFonts w:ascii="Times New Roman" w:hAnsi="Times New Roman" w:cs="Times New Roman"/>
          <w:sz w:val="24"/>
          <w:szCs w:val="24"/>
        </w:rPr>
        <w:t>Prihodi</w:t>
      </w:r>
      <w:r w:rsidR="000D1788" w:rsidRPr="00E90A50">
        <w:rPr>
          <w:rFonts w:ascii="Times New Roman" w:hAnsi="Times New Roman" w:cs="Times New Roman"/>
          <w:sz w:val="24"/>
          <w:szCs w:val="24"/>
        </w:rPr>
        <w:t xml:space="preserve"> na izvoru Europski fond za regionalni razvoj </w:t>
      </w:r>
      <w:r w:rsidRPr="00E90A50">
        <w:rPr>
          <w:rFonts w:ascii="Times New Roman" w:hAnsi="Times New Roman" w:cs="Times New Roman"/>
          <w:sz w:val="24"/>
          <w:szCs w:val="24"/>
        </w:rPr>
        <w:t>ostvareni su</w:t>
      </w:r>
      <w:r w:rsidR="000D1788" w:rsidRPr="00E90A50">
        <w:rPr>
          <w:rFonts w:ascii="Times New Roman" w:hAnsi="Times New Roman" w:cs="Times New Roman"/>
          <w:sz w:val="24"/>
          <w:szCs w:val="24"/>
        </w:rPr>
        <w:t xml:space="preserve"> prema potpisanim ugovorima o dodjeli bespovratnih sredstava za poziv "Priprema IRI i</w:t>
      </w:r>
      <w:r w:rsidR="00E90A50" w:rsidRPr="00E90A50">
        <w:rPr>
          <w:rFonts w:ascii="Times New Roman" w:hAnsi="Times New Roman" w:cs="Times New Roman"/>
          <w:sz w:val="24"/>
          <w:szCs w:val="24"/>
        </w:rPr>
        <w:t>nstrastrukturnih projekata" za projekte</w:t>
      </w:r>
      <w:r w:rsidR="000D1788" w:rsidRPr="00E90A50">
        <w:rPr>
          <w:rFonts w:ascii="Times New Roman" w:hAnsi="Times New Roman" w:cs="Times New Roman"/>
          <w:sz w:val="24"/>
          <w:szCs w:val="24"/>
        </w:rPr>
        <w:t xml:space="preserve"> Centar za istraživanje genom</w:t>
      </w:r>
      <w:r w:rsidR="00E90A50" w:rsidRPr="00E90A50">
        <w:rPr>
          <w:rFonts w:ascii="Times New Roman" w:hAnsi="Times New Roman" w:cs="Times New Roman"/>
          <w:sz w:val="24"/>
          <w:szCs w:val="24"/>
        </w:rPr>
        <w:t xml:space="preserve">a u onkologiji i </w:t>
      </w:r>
      <w:proofErr w:type="spellStart"/>
      <w:r w:rsidR="00E90A50" w:rsidRPr="00E90A50">
        <w:rPr>
          <w:rFonts w:ascii="Times New Roman" w:hAnsi="Times New Roman" w:cs="Times New Roman"/>
          <w:sz w:val="24"/>
          <w:szCs w:val="24"/>
        </w:rPr>
        <w:t>perinatologiji</w:t>
      </w:r>
      <w:proofErr w:type="spellEnd"/>
      <w:r w:rsidR="00E90A50" w:rsidRPr="00E90A50">
        <w:rPr>
          <w:rFonts w:ascii="Times New Roman" w:hAnsi="Times New Roman" w:cs="Times New Roman"/>
          <w:sz w:val="24"/>
          <w:szCs w:val="24"/>
        </w:rPr>
        <w:t xml:space="preserve"> te</w:t>
      </w:r>
      <w:r w:rsidR="000D1788" w:rsidRPr="00E90A50">
        <w:rPr>
          <w:rFonts w:ascii="Times New Roman" w:hAnsi="Times New Roman" w:cs="Times New Roman"/>
          <w:sz w:val="24"/>
          <w:szCs w:val="24"/>
        </w:rPr>
        <w:t xml:space="preserve"> Centri za istraživanje i </w:t>
      </w:r>
      <w:r w:rsidR="00E90A50" w:rsidRPr="00E90A50">
        <w:rPr>
          <w:rFonts w:ascii="Times New Roman" w:hAnsi="Times New Roman" w:cs="Times New Roman"/>
          <w:sz w:val="24"/>
          <w:szCs w:val="24"/>
        </w:rPr>
        <w:t>rano otkrivanje karcinoma pluća.</w:t>
      </w:r>
    </w:p>
    <w:p w14:paraId="6A95A49E" w14:textId="65851B5C" w:rsidR="006658CA" w:rsidRPr="006D0C54" w:rsidRDefault="005606A4" w:rsidP="00D620EA">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P</w:t>
      </w:r>
      <w:r w:rsidR="000035AE" w:rsidRPr="006D0C54">
        <w:rPr>
          <w:rFonts w:ascii="Times New Roman" w:hAnsi="Times New Roman" w:cs="Times New Roman"/>
          <w:sz w:val="24"/>
          <w:szCs w:val="24"/>
        </w:rPr>
        <w:t>rihod</w:t>
      </w:r>
      <w:r w:rsidRPr="006D0C54">
        <w:rPr>
          <w:rFonts w:ascii="Times New Roman" w:hAnsi="Times New Roman" w:cs="Times New Roman"/>
          <w:sz w:val="24"/>
          <w:szCs w:val="24"/>
        </w:rPr>
        <w:t>i</w:t>
      </w:r>
      <w:r w:rsidR="000035AE" w:rsidRPr="006D0C54">
        <w:rPr>
          <w:rFonts w:ascii="Times New Roman" w:hAnsi="Times New Roman" w:cs="Times New Roman"/>
          <w:sz w:val="24"/>
          <w:szCs w:val="24"/>
        </w:rPr>
        <w:t xml:space="preserve"> na izvoru </w:t>
      </w:r>
      <w:r w:rsidR="00D620EA" w:rsidRPr="006D0C54">
        <w:rPr>
          <w:rFonts w:ascii="Times New Roman" w:hAnsi="Times New Roman" w:cs="Times New Roman"/>
          <w:sz w:val="24"/>
          <w:szCs w:val="24"/>
        </w:rPr>
        <w:t xml:space="preserve">Fond solidarnosti Europske unije - potres ožujak 2020 </w:t>
      </w:r>
      <w:r w:rsidRPr="006D0C54">
        <w:rPr>
          <w:rFonts w:ascii="Times New Roman" w:hAnsi="Times New Roman" w:cs="Times New Roman"/>
          <w:sz w:val="24"/>
          <w:szCs w:val="24"/>
        </w:rPr>
        <w:t>ostvareni su</w:t>
      </w:r>
      <w:r w:rsidR="002C1CDA" w:rsidRPr="006D0C54">
        <w:rPr>
          <w:rFonts w:ascii="Times New Roman" w:hAnsi="Times New Roman" w:cs="Times New Roman"/>
          <w:sz w:val="24"/>
          <w:szCs w:val="24"/>
        </w:rPr>
        <w:t xml:space="preserve"> sukladno </w:t>
      </w:r>
      <w:r w:rsidRPr="006D0C54">
        <w:rPr>
          <w:rFonts w:ascii="Times New Roman" w:hAnsi="Times New Roman" w:cs="Times New Roman"/>
          <w:sz w:val="24"/>
          <w:szCs w:val="24"/>
        </w:rPr>
        <w:t>popisanim ugovorima i dodacima ugovoru</w:t>
      </w:r>
      <w:r w:rsidR="002C1CDA" w:rsidRPr="006D0C54">
        <w:rPr>
          <w:rFonts w:ascii="Times New Roman" w:hAnsi="Times New Roman" w:cs="Times New Roman"/>
          <w:sz w:val="24"/>
          <w:szCs w:val="24"/>
        </w:rPr>
        <w:t xml:space="preserve"> o dodjeli bespovratnih financijskih sredstva za projekte: Projekt obnove od potresa bolnice Petrova 13, Projekt obnove od potresa Klinike za plućne bolesti KBC-</w:t>
      </w:r>
      <w:r w:rsidR="006658CA" w:rsidRPr="006D0C54">
        <w:rPr>
          <w:rFonts w:ascii="Times New Roman" w:hAnsi="Times New Roman" w:cs="Times New Roman"/>
          <w:sz w:val="24"/>
          <w:szCs w:val="24"/>
        </w:rPr>
        <w:t>a</w:t>
      </w:r>
      <w:r w:rsidR="00D620EA" w:rsidRPr="006D0C54">
        <w:rPr>
          <w:rFonts w:ascii="Times New Roman" w:hAnsi="Times New Roman" w:cs="Times New Roman"/>
          <w:sz w:val="24"/>
          <w:szCs w:val="24"/>
        </w:rPr>
        <w:t xml:space="preserve"> Zagreb na lokaciji Jordanovac, Projekt obnove od potresa Žute zgrade i Projekt obnove od potresa Glavne zgrade KBC Zagreb.</w:t>
      </w:r>
      <w:r w:rsidR="000E057B">
        <w:rPr>
          <w:rFonts w:ascii="Times New Roman" w:hAnsi="Times New Roman" w:cs="Times New Roman"/>
          <w:sz w:val="24"/>
          <w:szCs w:val="24"/>
        </w:rPr>
        <w:t xml:space="preserve"> </w:t>
      </w:r>
      <w:r w:rsidR="000E057B" w:rsidRPr="000E057B">
        <w:rPr>
          <w:rFonts w:ascii="Times New Roman" w:hAnsi="Times New Roman" w:cs="Times New Roman"/>
          <w:sz w:val="24"/>
          <w:szCs w:val="24"/>
        </w:rPr>
        <w:t xml:space="preserve">Sukladno Uputi o načinu financiranja </w:t>
      </w:r>
      <w:r w:rsidR="000E057B" w:rsidRPr="000E057B">
        <w:rPr>
          <w:rFonts w:ascii="Times New Roman" w:hAnsi="Times New Roman" w:cs="Times New Roman"/>
          <w:sz w:val="24"/>
          <w:szCs w:val="24"/>
        </w:rPr>
        <w:lastRenderedPageBreak/>
        <w:t xml:space="preserve">projekata iz Fonda solidarnosti Europske unije, KLASA: 983-01/23-02/82, URBROJ: 531-05-4-1-1/1-23-14 od 27. srpnja 2023. godine koju je donijelo Ministarstvo prostornoga uređenja, graditeljstva i državne imovine i Odluci Vlade Republike Hrvatske o nastavku financiranja projekata započetih iz Fonda solidarnosti Europske unije iz sredstava državnog proračuna Republike Hrvatske, KLASA: 022-03/23-04/271, URBROJ: 50301-05/27-23-3 od 28. lipnja 2023. godine te zamolbama za odobrenje preraspodjele sredstava za financiranje projekata započetih iz Fonda solidarnosti Europske unije unutar Državnog proračuna Republike Hrvatske, ugovoreni iznos iz Fonda solidarnosti EU, a koji se nije realizirao do 30. lipnja 2023. godine financiran </w:t>
      </w:r>
      <w:r w:rsidR="0067389E">
        <w:rPr>
          <w:rFonts w:ascii="Times New Roman" w:hAnsi="Times New Roman" w:cs="Times New Roman"/>
          <w:sz w:val="24"/>
          <w:szCs w:val="24"/>
        </w:rPr>
        <w:t xml:space="preserve">je iz izvora </w:t>
      </w:r>
      <w:r w:rsidR="000E057B" w:rsidRPr="000E057B">
        <w:rPr>
          <w:rFonts w:ascii="Times New Roman" w:hAnsi="Times New Roman" w:cs="Times New Roman"/>
          <w:sz w:val="24"/>
          <w:szCs w:val="24"/>
        </w:rPr>
        <w:t>Opći prihodi i primici.</w:t>
      </w:r>
    </w:p>
    <w:p w14:paraId="09D92F52" w14:textId="5382EED8" w:rsidR="00093368" w:rsidRPr="006D0C54" w:rsidRDefault="00AF67D3" w:rsidP="00624C16">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P</w:t>
      </w:r>
      <w:r w:rsidR="00F860DD" w:rsidRPr="006D0C54">
        <w:rPr>
          <w:rFonts w:ascii="Times New Roman" w:hAnsi="Times New Roman" w:cs="Times New Roman"/>
          <w:sz w:val="24"/>
          <w:szCs w:val="24"/>
        </w:rPr>
        <w:t>rihod</w:t>
      </w:r>
      <w:r w:rsidRPr="006D0C54">
        <w:rPr>
          <w:rFonts w:ascii="Times New Roman" w:hAnsi="Times New Roman" w:cs="Times New Roman"/>
          <w:sz w:val="24"/>
          <w:szCs w:val="24"/>
        </w:rPr>
        <w:t>i od donacija, kao novčana sredst</w:t>
      </w:r>
      <w:r w:rsidR="00F860DD" w:rsidRPr="006D0C54">
        <w:rPr>
          <w:rFonts w:ascii="Times New Roman" w:hAnsi="Times New Roman" w:cs="Times New Roman"/>
          <w:sz w:val="24"/>
          <w:szCs w:val="24"/>
        </w:rPr>
        <w:t>va koja bez obveze vraćanja proračunski korisnici dobiju od pravnih i fizičkih osoba izvan općeg proračuna,</w:t>
      </w:r>
      <w:r w:rsidR="00FC5D1F">
        <w:rPr>
          <w:rFonts w:ascii="Times New Roman" w:hAnsi="Times New Roman" w:cs="Times New Roman"/>
          <w:sz w:val="24"/>
          <w:szCs w:val="24"/>
        </w:rPr>
        <w:t xml:space="preserve"> ostvareni su</w:t>
      </w:r>
      <w:r w:rsidR="003728ED" w:rsidRPr="006D0C54">
        <w:rPr>
          <w:rFonts w:ascii="Times New Roman" w:hAnsi="Times New Roman" w:cs="Times New Roman"/>
          <w:sz w:val="24"/>
          <w:szCs w:val="24"/>
        </w:rPr>
        <w:t xml:space="preserve"> sukladno primljenim pismima </w:t>
      </w:r>
      <w:r w:rsidR="00BF7302" w:rsidRPr="006D0C54">
        <w:rPr>
          <w:rFonts w:ascii="Times New Roman" w:hAnsi="Times New Roman" w:cs="Times New Roman"/>
          <w:sz w:val="24"/>
          <w:szCs w:val="24"/>
        </w:rPr>
        <w:t>namjere u svrhu unapređenja</w:t>
      </w:r>
      <w:r w:rsidR="003728ED" w:rsidRPr="006D0C54">
        <w:rPr>
          <w:rFonts w:ascii="Times New Roman" w:hAnsi="Times New Roman" w:cs="Times New Roman"/>
          <w:sz w:val="24"/>
          <w:szCs w:val="24"/>
        </w:rPr>
        <w:t xml:space="preserve"> pružanja usluga zdravstvene zaštite</w:t>
      </w:r>
      <w:r w:rsidR="00BF7302" w:rsidRPr="006D0C54">
        <w:rPr>
          <w:rFonts w:ascii="Times New Roman" w:hAnsi="Times New Roman" w:cs="Times New Roman"/>
          <w:sz w:val="24"/>
          <w:szCs w:val="24"/>
        </w:rPr>
        <w:t>.</w:t>
      </w:r>
    </w:p>
    <w:p w14:paraId="4FA0D377" w14:textId="1470A7C8" w:rsidR="00D97622" w:rsidRDefault="00A467E7" w:rsidP="00624C16">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Prihodi od nefinancijske imovine odnose se na prihode od prodaje stanova na kojima postoji stanarsko pravo, a koji se uplaćuje na temelju Naputka o način</w:t>
      </w:r>
      <w:r w:rsidR="00B44ECA" w:rsidRPr="006D0C54">
        <w:rPr>
          <w:rFonts w:ascii="Times New Roman" w:hAnsi="Times New Roman" w:cs="Times New Roman"/>
          <w:sz w:val="24"/>
          <w:szCs w:val="24"/>
        </w:rPr>
        <w:t>u uplaćivanja prihoda proračuna te na prihode o</w:t>
      </w:r>
      <w:r w:rsidR="00447FEF" w:rsidRPr="006D0C54">
        <w:rPr>
          <w:rFonts w:ascii="Times New Roman" w:hAnsi="Times New Roman" w:cs="Times New Roman"/>
          <w:sz w:val="24"/>
          <w:szCs w:val="24"/>
        </w:rPr>
        <w:t>d prodaje prijevoznih sredstava (rashodovano vozilo).</w:t>
      </w:r>
    </w:p>
    <w:p w14:paraId="40E14D8B" w14:textId="77777777" w:rsidR="008A091F" w:rsidRDefault="008A091F" w:rsidP="00624C16">
      <w:pPr>
        <w:spacing w:line="240" w:lineRule="auto"/>
        <w:jc w:val="both"/>
        <w:rPr>
          <w:rFonts w:ascii="Times New Roman" w:hAnsi="Times New Roman" w:cs="Times New Roman"/>
          <w:sz w:val="24"/>
          <w:szCs w:val="24"/>
        </w:rPr>
      </w:pPr>
    </w:p>
    <w:p w14:paraId="67DD6235" w14:textId="49DDF305" w:rsidR="00F471E7" w:rsidRPr="006D0C54" w:rsidRDefault="00F471E7" w:rsidP="00624C16">
      <w:pPr>
        <w:spacing w:line="240" w:lineRule="auto"/>
        <w:jc w:val="both"/>
        <w:rPr>
          <w:rFonts w:ascii="Times New Roman" w:hAnsi="Times New Roman" w:cs="Times New Roman"/>
          <w:b/>
          <w:sz w:val="24"/>
          <w:szCs w:val="24"/>
        </w:rPr>
      </w:pPr>
      <w:r w:rsidRPr="006D0C54">
        <w:rPr>
          <w:rFonts w:ascii="Times New Roman" w:hAnsi="Times New Roman" w:cs="Times New Roman"/>
          <w:b/>
          <w:sz w:val="24"/>
          <w:szCs w:val="24"/>
        </w:rPr>
        <w:t>RASHODI I IZDACI</w:t>
      </w:r>
    </w:p>
    <w:p w14:paraId="330D6D43" w14:textId="2413AF7E" w:rsidR="001A19C7" w:rsidRPr="006D0C54" w:rsidRDefault="001A19C7" w:rsidP="001A19C7">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Ukupno </w:t>
      </w:r>
      <w:r w:rsidR="00FB7206" w:rsidRPr="006D0C54">
        <w:rPr>
          <w:rFonts w:ascii="Times New Roman" w:hAnsi="Times New Roman" w:cs="Times New Roman"/>
          <w:sz w:val="24"/>
          <w:szCs w:val="24"/>
        </w:rPr>
        <w:t>ostvareni</w:t>
      </w:r>
      <w:r w:rsidRPr="006D0C54">
        <w:rPr>
          <w:rFonts w:ascii="Times New Roman" w:hAnsi="Times New Roman" w:cs="Times New Roman"/>
          <w:sz w:val="24"/>
          <w:szCs w:val="24"/>
        </w:rPr>
        <w:t xml:space="preserve"> rashodi i izdaci za </w:t>
      </w:r>
      <w:r w:rsidR="00FB7206" w:rsidRPr="006D0C54">
        <w:rPr>
          <w:rFonts w:ascii="Times New Roman" w:hAnsi="Times New Roman" w:cs="Times New Roman"/>
          <w:sz w:val="24"/>
          <w:szCs w:val="24"/>
        </w:rPr>
        <w:t>razdoblje siječanj-</w:t>
      </w:r>
      <w:r w:rsidR="00403638">
        <w:rPr>
          <w:rFonts w:ascii="Times New Roman" w:hAnsi="Times New Roman" w:cs="Times New Roman"/>
          <w:sz w:val="24"/>
          <w:szCs w:val="24"/>
        </w:rPr>
        <w:t>prosinac</w:t>
      </w:r>
      <w:r w:rsidR="00FB7206" w:rsidRPr="006D0C54">
        <w:rPr>
          <w:rFonts w:ascii="Times New Roman" w:hAnsi="Times New Roman" w:cs="Times New Roman"/>
          <w:sz w:val="24"/>
          <w:szCs w:val="24"/>
        </w:rPr>
        <w:t xml:space="preserve"> </w:t>
      </w:r>
      <w:r w:rsidRPr="006D0C54">
        <w:rPr>
          <w:rFonts w:ascii="Times New Roman" w:hAnsi="Times New Roman" w:cs="Times New Roman"/>
          <w:sz w:val="24"/>
          <w:szCs w:val="24"/>
        </w:rPr>
        <w:t xml:space="preserve">2023. godinu iznose </w:t>
      </w:r>
      <w:r w:rsidR="00CA7A4D">
        <w:rPr>
          <w:rFonts w:ascii="Times New Roman" w:hAnsi="Times New Roman" w:cs="Times New Roman"/>
          <w:sz w:val="24"/>
          <w:szCs w:val="24"/>
        </w:rPr>
        <w:t>564</w:t>
      </w:r>
      <w:r w:rsidR="009A09A8" w:rsidRPr="006D0C54">
        <w:rPr>
          <w:rFonts w:ascii="Times New Roman" w:hAnsi="Times New Roman" w:cs="Times New Roman"/>
          <w:sz w:val="24"/>
          <w:szCs w:val="24"/>
        </w:rPr>
        <w:t>.</w:t>
      </w:r>
      <w:r w:rsidR="00CA7A4D">
        <w:rPr>
          <w:rFonts w:ascii="Times New Roman" w:hAnsi="Times New Roman" w:cs="Times New Roman"/>
          <w:sz w:val="24"/>
          <w:szCs w:val="24"/>
        </w:rPr>
        <w:t>396</w:t>
      </w:r>
      <w:r w:rsidR="009A09A8" w:rsidRPr="006D0C54">
        <w:rPr>
          <w:rFonts w:ascii="Times New Roman" w:hAnsi="Times New Roman" w:cs="Times New Roman"/>
          <w:sz w:val="24"/>
          <w:szCs w:val="24"/>
        </w:rPr>
        <w:t>.</w:t>
      </w:r>
      <w:r w:rsidR="00CA7A4D">
        <w:rPr>
          <w:rFonts w:ascii="Times New Roman" w:hAnsi="Times New Roman" w:cs="Times New Roman"/>
          <w:sz w:val="24"/>
          <w:szCs w:val="24"/>
        </w:rPr>
        <w:t>861</w:t>
      </w:r>
      <w:r w:rsidR="009A09A8" w:rsidRPr="006D0C54">
        <w:rPr>
          <w:rFonts w:ascii="Times New Roman" w:hAnsi="Times New Roman" w:cs="Times New Roman"/>
          <w:sz w:val="24"/>
          <w:szCs w:val="24"/>
        </w:rPr>
        <w:t xml:space="preserve"> EUR</w:t>
      </w:r>
      <w:r w:rsidR="00403638">
        <w:rPr>
          <w:rFonts w:ascii="Times New Roman" w:hAnsi="Times New Roman" w:cs="Times New Roman"/>
          <w:sz w:val="24"/>
          <w:szCs w:val="24"/>
        </w:rPr>
        <w:t>, a utrošeni su</w:t>
      </w:r>
      <w:r w:rsidR="00FB7206" w:rsidRPr="006D0C54">
        <w:rPr>
          <w:rFonts w:ascii="Times New Roman" w:hAnsi="Times New Roman" w:cs="Times New Roman"/>
          <w:sz w:val="24"/>
          <w:szCs w:val="24"/>
        </w:rPr>
        <w:t xml:space="preserve"> </w:t>
      </w:r>
      <w:r w:rsidRPr="006D0C54">
        <w:rPr>
          <w:rFonts w:ascii="Times New Roman" w:hAnsi="Times New Roman" w:cs="Times New Roman"/>
          <w:sz w:val="24"/>
          <w:szCs w:val="24"/>
        </w:rPr>
        <w:t>iz sljedećih izvora financiranja:</w:t>
      </w:r>
    </w:p>
    <w:p w14:paraId="25256D4C" w14:textId="6D35B952" w:rsidR="001A19C7" w:rsidRPr="00354F54" w:rsidRDefault="001A19C7" w:rsidP="00354F54">
      <w:pPr>
        <w:pStyle w:val="ListParagraph"/>
        <w:numPr>
          <w:ilvl w:val="0"/>
          <w:numId w:val="1"/>
        </w:numPr>
        <w:spacing w:line="240" w:lineRule="auto"/>
        <w:rPr>
          <w:rFonts w:ascii="Times New Roman" w:hAnsi="Times New Roman" w:cs="Times New Roman"/>
          <w:sz w:val="24"/>
          <w:szCs w:val="24"/>
        </w:rPr>
      </w:pPr>
      <w:r w:rsidRPr="006D0C54">
        <w:rPr>
          <w:rFonts w:ascii="Times New Roman" w:hAnsi="Times New Roman" w:cs="Times New Roman"/>
          <w:sz w:val="24"/>
          <w:szCs w:val="24"/>
        </w:rPr>
        <w:t xml:space="preserve">Opći prihodi i primici u iznosu od </w:t>
      </w:r>
      <w:r w:rsidR="00354F54">
        <w:rPr>
          <w:rFonts w:ascii="Times New Roman" w:hAnsi="Times New Roman" w:cs="Times New Roman"/>
          <w:sz w:val="24"/>
          <w:szCs w:val="24"/>
        </w:rPr>
        <w:t>60.588.724</w:t>
      </w:r>
      <w:r w:rsidR="00354F54" w:rsidRPr="006D0C54">
        <w:rPr>
          <w:rFonts w:ascii="Times New Roman" w:hAnsi="Times New Roman" w:cs="Times New Roman"/>
          <w:sz w:val="24"/>
          <w:szCs w:val="24"/>
        </w:rPr>
        <w:t xml:space="preserve"> EUR</w:t>
      </w:r>
    </w:p>
    <w:p w14:paraId="27DEBACD" w14:textId="3F73AB60" w:rsidR="001A19C7" w:rsidRPr="006D0C54" w:rsidRDefault="001A19C7" w:rsidP="001A19C7">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Sredstva učešća za pomoći u iznosu od </w:t>
      </w:r>
      <w:r w:rsidR="00354F54">
        <w:rPr>
          <w:rFonts w:ascii="Times New Roman" w:hAnsi="Times New Roman" w:cs="Times New Roman"/>
          <w:sz w:val="24"/>
          <w:szCs w:val="24"/>
        </w:rPr>
        <w:t>5.072</w:t>
      </w:r>
      <w:r w:rsidR="00354F54" w:rsidRPr="006D0C54">
        <w:rPr>
          <w:rFonts w:ascii="Times New Roman" w:hAnsi="Times New Roman" w:cs="Times New Roman"/>
          <w:sz w:val="24"/>
          <w:szCs w:val="24"/>
        </w:rPr>
        <w:t xml:space="preserve"> </w:t>
      </w:r>
      <w:r w:rsidR="00A8179B" w:rsidRPr="006D0C54">
        <w:rPr>
          <w:rFonts w:ascii="Times New Roman" w:hAnsi="Times New Roman" w:cs="Times New Roman"/>
          <w:sz w:val="24"/>
          <w:szCs w:val="24"/>
        </w:rPr>
        <w:t>EUR</w:t>
      </w:r>
    </w:p>
    <w:p w14:paraId="26B11B2C" w14:textId="22EE0565" w:rsidR="001A19C7" w:rsidRPr="006D0C54" w:rsidRDefault="001A19C7" w:rsidP="001A19C7">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Vlastiti prihodi u iznosu od </w:t>
      </w:r>
      <w:r w:rsidR="00D57FBB">
        <w:rPr>
          <w:rFonts w:ascii="Times New Roman" w:hAnsi="Times New Roman" w:cs="Times New Roman"/>
          <w:sz w:val="24"/>
          <w:szCs w:val="24"/>
        </w:rPr>
        <w:t>12.337.018</w:t>
      </w:r>
      <w:r w:rsidR="007530C2" w:rsidRPr="006D0C54">
        <w:rPr>
          <w:rFonts w:ascii="Times New Roman" w:hAnsi="Times New Roman" w:cs="Times New Roman"/>
          <w:sz w:val="24"/>
          <w:szCs w:val="24"/>
        </w:rPr>
        <w:t xml:space="preserve"> EUR</w:t>
      </w:r>
    </w:p>
    <w:p w14:paraId="736C3282" w14:textId="3E6F75FD" w:rsidR="001A19C7" w:rsidRDefault="001A19C7" w:rsidP="001A19C7">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Ostali prihodi za posebne namjene u iznosu od </w:t>
      </w:r>
      <w:r w:rsidR="00FC5F97">
        <w:rPr>
          <w:rFonts w:ascii="Times New Roman" w:hAnsi="Times New Roman" w:cs="Times New Roman"/>
          <w:sz w:val="24"/>
          <w:szCs w:val="24"/>
        </w:rPr>
        <w:t>442.923.62</w:t>
      </w:r>
      <w:r w:rsidR="00D57FBB">
        <w:rPr>
          <w:rFonts w:ascii="Times New Roman" w:hAnsi="Times New Roman" w:cs="Times New Roman"/>
          <w:sz w:val="24"/>
          <w:szCs w:val="24"/>
        </w:rPr>
        <w:t>5</w:t>
      </w:r>
      <w:r w:rsidR="00596ED5" w:rsidRPr="006D0C54">
        <w:rPr>
          <w:rFonts w:ascii="Times New Roman" w:hAnsi="Times New Roman" w:cs="Times New Roman"/>
          <w:sz w:val="24"/>
          <w:szCs w:val="24"/>
        </w:rPr>
        <w:t xml:space="preserve"> EUR</w:t>
      </w:r>
    </w:p>
    <w:p w14:paraId="54A3080D" w14:textId="6984654F" w:rsidR="00D57FBB" w:rsidRPr="006D0C54" w:rsidRDefault="00D57FBB" w:rsidP="001A19C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Pomoći </w:t>
      </w:r>
      <w:r w:rsidR="008A091F">
        <w:rPr>
          <w:rFonts w:ascii="Times New Roman" w:hAnsi="Times New Roman" w:cs="Times New Roman"/>
          <w:sz w:val="24"/>
          <w:szCs w:val="24"/>
        </w:rPr>
        <w:t>EU</w:t>
      </w:r>
      <w:r w:rsidR="00FC5F97">
        <w:rPr>
          <w:rFonts w:ascii="Times New Roman" w:hAnsi="Times New Roman" w:cs="Times New Roman"/>
          <w:sz w:val="24"/>
          <w:szCs w:val="24"/>
        </w:rPr>
        <w:t xml:space="preserve"> u iznosu od 2.048</w:t>
      </w:r>
      <w:r>
        <w:rPr>
          <w:rFonts w:ascii="Times New Roman" w:hAnsi="Times New Roman" w:cs="Times New Roman"/>
          <w:sz w:val="24"/>
          <w:szCs w:val="24"/>
        </w:rPr>
        <w:t xml:space="preserve"> EUR</w:t>
      </w:r>
    </w:p>
    <w:p w14:paraId="18DAA907" w14:textId="0844793F" w:rsidR="001A19C7" w:rsidRPr="006D0C54" w:rsidRDefault="001A19C7" w:rsidP="001A19C7">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Ostale pomoći u iznosu od </w:t>
      </w:r>
      <w:r w:rsidR="00D57FBB">
        <w:rPr>
          <w:rFonts w:ascii="Times New Roman" w:hAnsi="Times New Roman" w:cs="Times New Roman"/>
          <w:sz w:val="24"/>
          <w:szCs w:val="24"/>
        </w:rPr>
        <w:t>32.152.774</w:t>
      </w:r>
      <w:r w:rsidR="001C62F4" w:rsidRPr="006D0C54">
        <w:rPr>
          <w:rFonts w:ascii="Times New Roman" w:hAnsi="Times New Roman" w:cs="Times New Roman"/>
          <w:sz w:val="24"/>
          <w:szCs w:val="24"/>
        </w:rPr>
        <w:t xml:space="preserve"> EUR</w:t>
      </w:r>
    </w:p>
    <w:p w14:paraId="17933881" w14:textId="62AB902A" w:rsidR="001A19C7" w:rsidRPr="006D0C54" w:rsidRDefault="001A19C7" w:rsidP="001A19C7">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Europski fond za regionalni razvoj u iznosu od </w:t>
      </w:r>
      <w:r w:rsidR="00D57FBB">
        <w:rPr>
          <w:rFonts w:ascii="Times New Roman" w:hAnsi="Times New Roman" w:cs="Times New Roman"/>
          <w:sz w:val="24"/>
          <w:szCs w:val="24"/>
        </w:rPr>
        <w:t>28.740</w:t>
      </w:r>
      <w:r w:rsidR="009735BC" w:rsidRPr="006D0C54">
        <w:rPr>
          <w:rFonts w:ascii="Times New Roman" w:hAnsi="Times New Roman" w:cs="Times New Roman"/>
          <w:sz w:val="24"/>
          <w:szCs w:val="24"/>
        </w:rPr>
        <w:t xml:space="preserve"> EUR</w:t>
      </w:r>
    </w:p>
    <w:p w14:paraId="05EB60DE" w14:textId="0D2D5EFF" w:rsidR="001A19C7" w:rsidRPr="006D0C54" w:rsidRDefault="001A19C7" w:rsidP="001A19C7">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Fond solidarnosti Europske unije - potres ožujak 2020 u iznosu od </w:t>
      </w:r>
      <w:r w:rsidR="009735BC" w:rsidRPr="006D0C54">
        <w:rPr>
          <w:rFonts w:ascii="Times New Roman" w:hAnsi="Times New Roman" w:cs="Times New Roman"/>
          <w:sz w:val="24"/>
          <w:szCs w:val="24"/>
        </w:rPr>
        <w:t>15.</w:t>
      </w:r>
      <w:r w:rsidR="00D57FBB">
        <w:rPr>
          <w:rFonts w:ascii="Times New Roman" w:hAnsi="Times New Roman" w:cs="Times New Roman"/>
          <w:sz w:val="24"/>
          <w:szCs w:val="24"/>
        </w:rPr>
        <w:t>681.608</w:t>
      </w:r>
      <w:r w:rsidR="009735BC" w:rsidRPr="006D0C54">
        <w:rPr>
          <w:rFonts w:ascii="Times New Roman" w:hAnsi="Times New Roman" w:cs="Times New Roman"/>
          <w:sz w:val="24"/>
          <w:szCs w:val="24"/>
        </w:rPr>
        <w:t xml:space="preserve"> EUR</w:t>
      </w:r>
    </w:p>
    <w:p w14:paraId="2813E6B3" w14:textId="77777777" w:rsidR="009108D1" w:rsidRDefault="002F4A11" w:rsidP="00624C16">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Donacije u iznosu od </w:t>
      </w:r>
      <w:r w:rsidR="009108D1">
        <w:rPr>
          <w:rFonts w:ascii="Times New Roman" w:hAnsi="Times New Roman" w:cs="Times New Roman"/>
          <w:sz w:val="24"/>
          <w:szCs w:val="24"/>
        </w:rPr>
        <w:t>651.402</w:t>
      </w:r>
      <w:r w:rsidR="007366C0" w:rsidRPr="006D0C54">
        <w:rPr>
          <w:rFonts w:ascii="Times New Roman" w:hAnsi="Times New Roman" w:cs="Times New Roman"/>
          <w:sz w:val="24"/>
          <w:szCs w:val="24"/>
        </w:rPr>
        <w:t xml:space="preserve"> EUR</w:t>
      </w:r>
    </w:p>
    <w:p w14:paraId="31EFDA60" w14:textId="5349B1E3" w:rsidR="0047377C" w:rsidRPr="009108D1" w:rsidRDefault="009108D1" w:rsidP="009108D1">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Prihodi od nefinancijske imovine i naknade šteta s osnova osiguranja u iznosu od </w:t>
      </w:r>
      <w:r>
        <w:rPr>
          <w:rFonts w:ascii="Times New Roman" w:hAnsi="Times New Roman" w:cs="Times New Roman"/>
          <w:sz w:val="24"/>
          <w:szCs w:val="24"/>
        </w:rPr>
        <w:t>25.849</w:t>
      </w:r>
      <w:r w:rsidRPr="006D0C54">
        <w:rPr>
          <w:rFonts w:ascii="Times New Roman" w:hAnsi="Times New Roman" w:cs="Times New Roman"/>
          <w:sz w:val="24"/>
          <w:szCs w:val="24"/>
        </w:rPr>
        <w:t xml:space="preserve"> EUR</w:t>
      </w:r>
      <w:r w:rsidR="0047377C" w:rsidRPr="009108D1">
        <w:rPr>
          <w:rFonts w:ascii="Times New Roman" w:hAnsi="Times New Roman" w:cs="Times New Roman"/>
          <w:sz w:val="24"/>
          <w:szCs w:val="24"/>
        </w:rPr>
        <w:t xml:space="preserve">    </w:t>
      </w:r>
    </w:p>
    <w:p w14:paraId="5999516A" w14:textId="1A7A9599" w:rsidR="003005D3" w:rsidRPr="006D0C54" w:rsidRDefault="003350C9" w:rsidP="0047377C">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Od ukupno </w:t>
      </w:r>
      <w:r w:rsidR="00535A27" w:rsidRPr="006D0C54">
        <w:rPr>
          <w:rFonts w:ascii="Times New Roman" w:hAnsi="Times New Roman" w:cs="Times New Roman"/>
          <w:sz w:val="24"/>
          <w:szCs w:val="24"/>
        </w:rPr>
        <w:t>izvršenih</w:t>
      </w:r>
      <w:r w:rsidRPr="006D0C54">
        <w:rPr>
          <w:rFonts w:ascii="Times New Roman" w:hAnsi="Times New Roman" w:cs="Times New Roman"/>
          <w:sz w:val="24"/>
          <w:szCs w:val="24"/>
        </w:rPr>
        <w:t xml:space="preserve"> rashoda i izdataka </w:t>
      </w:r>
      <w:r w:rsidR="00DA460C" w:rsidRPr="006D0C54">
        <w:rPr>
          <w:rFonts w:ascii="Times New Roman" w:hAnsi="Times New Roman" w:cs="Times New Roman"/>
          <w:sz w:val="24"/>
          <w:szCs w:val="24"/>
        </w:rPr>
        <w:t xml:space="preserve">najznačajniji su rashodi za zaposlene, materijalni rashodi te rashodi za nabavu nefinancijske imovine. </w:t>
      </w:r>
    </w:p>
    <w:p w14:paraId="69D546B7" w14:textId="77777777" w:rsidR="003005D3" w:rsidRPr="006D0C54" w:rsidRDefault="00DA460C" w:rsidP="00624C16">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Rashodi za zaposlene odnose se na obračunate plaće i naknade kao i isplaćene plaće po sudskim presudama i izvansudskim nagodbama. </w:t>
      </w:r>
    </w:p>
    <w:p w14:paraId="3606DA4F" w14:textId="77777777" w:rsidR="003005D3" w:rsidRPr="006D0C54" w:rsidRDefault="00E601B8" w:rsidP="00624C16">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Materijalni rashodi odnose se na naknade troškova zaposlenima, rashode za materijal i energiju (od </w:t>
      </w:r>
      <w:r w:rsidR="002C5866" w:rsidRPr="006D0C54">
        <w:rPr>
          <w:rFonts w:ascii="Times New Roman" w:hAnsi="Times New Roman" w:cs="Times New Roman"/>
          <w:sz w:val="24"/>
          <w:szCs w:val="24"/>
        </w:rPr>
        <w:t>kojih</w:t>
      </w:r>
      <w:r w:rsidRPr="006D0C54">
        <w:rPr>
          <w:rFonts w:ascii="Times New Roman" w:hAnsi="Times New Roman" w:cs="Times New Roman"/>
          <w:sz w:val="24"/>
          <w:szCs w:val="24"/>
        </w:rPr>
        <w:t xml:space="preserve"> se </w:t>
      </w:r>
      <w:r w:rsidR="00BB532E" w:rsidRPr="006D0C54">
        <w:rPr>
          <w:rFonts w:ascii="Times New Roman" w:hAnsi="Times New Roman" w:cs="Times New Roman"/>
          <w:sz w:val="24"/>
          <w:szCs w:val="24"/>
        </w:rPr>
        <w:t xml:space="preserve">najveći dio odnosi na rashode za utrošene lijekove i medicinski potrošni materijal), </w:t>
      </w:r>
      <w:r w:rsidRPr="006D0C54">
        <w:rPr>
          <w:rFonts w:ascii="Times New Roman" w:hAnsi="Times New Roman" w:cs="Times New Roman"/>
          <w:sz w:val="24"/>
          <w:szCs w:val="24"/>
        </w:rPr>
        <w:t>rashode za usluge</w:t>
      </w:r>
      <w:r w:rsidR="002C5866" w:rsidRPr="006D0C54">
        <w:rPr>
          <w:rFonts w:ascii="Times New Roman" w:hAnsi="Times New Roman" w:cs="Times New Roman"/>
          <w:sz w:val="24"/>
          <w:szCs w:val="24"/>
        </w:rPr>
        <w:t xml:space="preserve"> (od kojih se najveći dio odnosi na usluge tekućeg i inves</w:t>
      </w:r>
      <w:r w:rsidR="00A63993" w:rsidRPr="006D0C54">
        <w:rPr>
          <w:rFonts w:ascii="Times New Roman" w:hAnsi="Times New Roman" w:cs="Times New Roman"/>
          <w:sz w:val="24"/>
          <w:szCs w:val="24"/>
        </w:rPr>
        <w:t xml:space="preserve">ticijskog održavanja medicinske </w:t>
      </w:r>
      <w:r w:rsidR="002C5866" w:rsidRPr="006D0C54">
        <w:rPr>
          <w:rFonts w:ascii="Times New Roman" w:hAnsi="Times New Roman" w:cs="Times New Roman"/>
          <w:sz w:val="24"/>
          <w:szCs w:val="24"/>
        </w:rPr>
        <w:t>opreme)</w:t>
      </w:r>
      <w:r w:rsidR="00296E89" w:rsidRPr="006D0C54">
        <w:rPr>
          <w:rFonts w:ascii="Times New Roman" w:hAnsi="Times New Roman" w:cs="Times New Roman"/>
          <w:sz w:val="24"/>
          <w:szCs w:val="24"/>
        </w:rPr>
        <w:t xml:space="preserve">, </w:t>
      </w:r>
      <w:r w:rsidRPr="006D0C54">
        <w:rPr>
          <w:rFonts w:ascii="Times New Roman" w:hAnsi="Times New Roman" w:cs="Times New Roman"/>
          <w:sz w:val="24"/>
          <w:szCs w:val="24"/>
        </w:rPr>
        <w:t xml:space="preserve">naknade troškova osobama izvan radnog odnosa i ostale nepomenute rashode. </w:t>
      </w:r>
    </w:p>
    <w:p w14:paraId="3FF1DDE5" w14:textId="77777777" w:rsidR="00BA152A" w:rsidRPr="006D0C54" w:rsidRDefault="00E601B8" w:rsidP="00624C16">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Rashodi za nabavu nefinancijske </w:t>
      </w:r>
      <w:r w:rsidR="00E47C78" w:rsidRPr="006D0C54">
        <w:rPr>
          <w:rFonts w:ascii="Times New Roman" w:hAnsi="Times New Roman" w:cs="Times New Roman"/>
          <w:sz w:val="24"/>
          <w:szCs w:val="24"/>
        </w:rPr>
        <w:t xml:space="preserve">imovine </w:t>
      </w:r>
      <w:r w:rsidR="002C5866" w:rsidRPr="006D0C54">
        <w:rPr>
          <w:rFonts w:ascii="Times New Roman" w:hAnsi="Times New Roman" w:cs="Times New Roman"/>
          <w:sz w:val="24"/>
          <w:szCs w:val="24"/>
        </w:rPr>
        <w:t>odnose se na</w:t>
      </w:r>
      <w:r w:rsidR="00E47C78" w:rsidRPr="006D0C54">
        <w:rPr>
          <w:rFonts w:ascii="Times New Roman" w:hAnsi="Times New Roman" w:cs="Times New Roman"/>
          <w:sz w:val="24"/>
          <w:szCs w:val="24"/>
        </w:rPr>
        <w:t xml:space="preserve"> rashode za nabavu medicinske i laboratorijske opreme</w:t>
      </w:r>
      <w:r w:rsidR="00663772" w:rsidRPr="006D0C54">
        <w:rPr>
          <w:rFonts w:ascii="Times New Roman" w:hAnsi="Times New Roman" w:cs="Times New Roman"/>
          <w:sz w:val="24"/>
          <w:szCs w:val="24"/>
        </w:rPr>
        <w:t xml:space="preserve">, </w:t>
      </w:r>
      <w:r w:rsidR="007357C6" w:rsidRPr="006D0C54">
        <w:rPr>
          <w:rFonts w:ascii="Times New Roman" w:hAnsi="Times New Roman" w:cs="Times New Roman"/>
          <w:sz w:val="24"/>
          <w:szCs w:val="24"/>
        </w:rPr>
        <w:t xml:space="preserve">rashode za nabavu </w:t>
      </w:r>
      <w:r w:rsidR="00FF73B8" w:rsidRPr="006D0C54">
        <w:rPr>
          <w:rFonts w:ascii="Times New Roman" w:hAnsi="Times New Roman" w:cs="Times New Roman"/>
          <w:sz w:val="24"/>
          <w:szCs w:val="24"/>
        </w:rPr>
        <w:t xml:space="preserve">ostale opreme i </w:t>
      </w:r>
      <w:r w:rsidR="007357C6" w:rsidRPr="006D0C54">
        <w:rPr>
          <w:rFonts w:ascii="Times New Roman" w:hAnsi="Times New Roman" w:cs="Times New Roman"/>
          <w:sz w:val="24"/>
          <w:szCs w:val="24"/>
        </w:rPr>
        <w:t>uređaja, ulaganje u računalne programe</w:t>
      </w:r>
      <w:r w:rsidR="00E47C78" w:rsidRPr="006D0C54">
        <w:rPr>
          <w:rFonts w:ascii="Times New Roman" w:hAnsi="Times New Roman" w:cs="Times New Roman"/>
          <w:sz w:val="24"/>
          <w:szCs w:val="24"/>
        </w:rPr>
        <w:t xml:space="preserve"> te </w:t>
      </w:r>
      <w:r w:rsidR="00663772" w:rsidRPr="006D0C54">
        <w:rPr>
          <w:rFonts w:ascii="Times New Roman" w:hAnsi="Times New Roman" w:cs="Times New Roman"/>
          <w:sz w:val="24"/>
          <w:szCs w:val="24"/>
        </w:rPr>
        <w:t xml:space="preserve">na </w:t>
      </w:r>
      <w:r w:rsidR="00E47C78" w:rsidRPr="006D0C54">
        <w:rPr>
          <w:rFonts w:ascii="Times New Roman" w:hAnsi="Times New Roman" w:cs="Times New Roman"/>
          <w:sz w:val="24"/>
          <w:szCs w:val="24"/>
        </w:rPr>
        <w:t>dodatna ulaganja na građevinskim objektima radi obnove i rekonstrukcije prostora oštećenih u potresu.</w:t>
      </w:r>
      <w:r w:rsidR="00BA152A" w:rsidRPr="006D0C54">
        <w:rPr>
          <w:rFonts w:ascii="Times New Roman" w:hAnsi="Times New Roman" w:cs="Times New Roman"/>
          <w:sz w:val="24"/>
          <w:szCs w:val="24"/>
        </w:rPr>
        <w:t xml:space="preserve"> Navedeni rashodi za nabavu nefinancijske imovine </w:t>
      </w:r>
      <w:r w:rsidR="00813050" w:rsidRPr="006D0C54">
        <w:rPr>
          <w:rFonts w:ascii="Times New Roman" w:hAnsi="Times New Roman" w:cs="Times New Roman"/>
          <w:sz w:val="24"/>
          <w:szCs w:val="24"/>
        </w:rPr>
        <w:t>izvršen</w:t>
      </w:r>
      <w:r w:rsidR="00BA152A" w:rsidRPr="006D0C54">
        <w:rPr>
          <w:rFonts w:ascii="Times New Roman" w:hAnsi="Times New Roman" w:cs="Times New Roman"/>
          <w:sz w:val="24"/>
          <w:szCs w:val="24"/>
        </w:rPr>
        <w:t>i su u sklopu provedbe projekata:</w:t>
      </w:r>
    </w:p>
    <w:p w14:paraId="3CDA61D3" w14:textId="77777777" w:rsidR="00BA152A" w:rsidRPr="006D0C54" w:rsidRDefault="00BA152A" w:rsidP="00624C16">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lastRenderedPageBreak/>
        <w:t>K891002.00</w:t>
      </w:r>
      <w:r w:rsidR="003A18F5" w:rsidRPr="006D0C54">
        <w:rPr>
          <w:rFonts w:ascii="Times New Roman" w:hAnsi="Times New Roman" w:cs="Times New Roman"/>
          <w:sz w:val="24"/>
          <w:szCs w:val="24"/>
        </w:rPr>
        <w:t>3</w:t>
      </w:r>
      <w:r w:rsidRPr="006D0C54">
        <w:rPr>
          <w:rFonts w:ascii="Times New Roman" w:hAnsi="Times New Roman" w:cs="Times New Roman"/>
          <w:sz w:val="24"/>
          <w:szCs w:val="24"/>
        </w:rPr>
        <w:t xml:space="preserve"> - </w:t>
      </w:r>
      <w:r w:rsidR="003A18F5" w:rsidRPr="006D0C54">
        <w:rPr>
          <w:rFonts w:ascii="Times New Roman" w:hAnsi="Times New Roman" w:cs="Times New Roman"/>
          <w:sz w:val="24"/>
          <w:szCs w:val="24"/>
        </w:rPr>
        <w:t>Adaptacija prostora i nabava medicinske i nemedicinske opreme za potrebe KBC Zagreb-a</w:t>
      </w:r>
    </w:p>
    <w:p w14:paraId="20E7A802" w14:textId="77777777" w:rsidR="00BA152A" w:rsidRPr="006D0C54" w:rsidRDefault="00BA152A" w:rsidP="00624C16">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K891007.001 - Projekt obnove od potresa bolnice Petrove 13</w:t>
      </w:r>
    </w:p>
    <w:p w14:paraId="72250BB9" w14:textId="77777777" w:rsidR="00C605E2" w:rsidRPr="006D0C54" w:rsidRDefault="00C605E2" w:rsidP="00624C16">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K891007.002 - Projekt obnove od potresa Klinike za plućne bolesti KBC-a Zagreb na lokaciji Jordanovac</w:t>
      </w:r>
    </w:p>
    <w:p w14:paraId="123F9E7D" w14:textId="77777777" w:rsidR="00C605E2" w:rsidRPr="006D0C54" w:rsidRDefault="00C605E2" w:rsidP="00624C16">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K891007.004 - Projekt cjelovite obnove od potresa Glavne zgrade KBC-a Zagreb na lokaciji Kišpatićeva 12</w:t>
      </w:r>
    </w:p>
    <w:p w14:paraId="4D309E04" w14:textId="17A65AB0" w:rsidR="00BD1E0D" w:rsidRDefault="00C605E2" w:rsidP="00624C16">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K891007.005 - Projekt cjelovite obnove od potresa Žute zgrade u sklopu kom</w:t>
      </w:r>
      <w:r w:rsidR="007072DB">
        <w:rPr>
          <w:rFonts w:ascii="Times New Roman" w:hAnsi="Times New Roman" w:cs="Times New Roman"/>
          <w:sz w:val="24"/>
          <w:szCs w:val="24"/>
        </w:rPr>
        <w:t>p</w:t>
      </w:r>
      <w:r w:rsidRPr="006D0C54">
        <w:rPr>
          <w:rFonts w:ascii="Times New Roman" w:hAnsi="Times New Roman" w:cs="Times New Roman"/>
          <w:sz w:val="24"/>
          <w:szCs w:val="24"/>
        </w:rPr>
        <w:t>leksa KBC-a Rebro</w:t>
      </w:r>
    </w:p>
    <w:p w14:paraId="63F1D36C" w14:textId="77777777" w:rsidR="00E93178" w:rsidRDefault="00E93178" w:rsidP="00624C16">
      <w:pPr>
        <w:spacing w:line="240" w:lineRule="auto"/>
        <w:jc w:val="both"/>
        <w:rPr>
          <w:rFonts w:ascii="Times New Roman" w:hAnsi="Times New Roman" w:cs="Times New Roman"/>
          <w:sz w:val="24"/>
          <w:szCs w:val="24"/>
        </w:rPr>
      </w:pPr>
    </w:p>
    <w:p w14:paraId="5D2AE162" w14:textId="77777777" w:rsidR="00F471E7" w:rsidRPr="006D0C54" w:rsidRDefault="00F471E7" w:rsidP="00624C16">
      <w:pPr>
        <w:spacing w:line="240" w:lineRule="auto"/>
        <w:jc w:val="both"/>
        <w:rPr>
          <w:rFonts w:ascii="Times New Roman" w:hAnsi="Times New Roman" w:cs="Times New Roman"/>
          <w:b/>
          <w:sz w:val="24"/>
          <w:szCs w:val="24"/>
        </w:rPr>
      </w:pPr>
      <w:r w:rsidRPr="006D0C54">
        <w:rPr>
          <w:rFonts w:ascii="Times New Roman" w:hAnsi="Times New Roman" w:cs="Times New Roman"/>
          <w:b/>
          <w:sz w:val="24"/>
          <w:szCs w:val="24"/>
        </w:rPr>
        <w:t>PRIJENOS SREDSTAVA IZ PRETHODNE I U SLJEDEĆU GODINU</w:t>
      </w:r>
    </w:p>
    <w:p w14:paraId="511555F3" w14:textId="62B809AA" w:rsidR="002D3006" w:rsidRPr="006D0C54" w:rsidRDefault="004D1021" w:rsidP="00624C16">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Ostvarenje</w:t>
      </w:r>
      <w:r w:rsidR="002D3006" w:rsidRPr="006D0C54">
        <w:rPr>
          <w:rFonts w:ascii="Times New Roman" w:hAnsi="Times New Roman" w:cs="Times New Roman"/>
          <w:sz w:val="24"/>
          <w:szCs w:val="24"/>
        </w:rPr>
        <w:t xml:space="preserve"> prijenos</w:t>
      </w:r>
      <w:r w:rsidR="00D11AA8" w:rsidRPr="006D0C54">
        <w:rPr>
          <w:rFonts w:ascii="Times New Roman" w:hAnsi="Times New Roman" w:cs="Times New Roman"/>
          <w:sz w:val="24"/>
          <w:szCs w:val="24"/>
        </w:rPr>
        <w:t>a</w:t>
      </w:r>
      <w:r w:rsidR="002D3006" w:rsidRPr="006D0C54">
        <w:rPr>
          <w:rFonts w:ascii="Times New Roman" w:hAnsi="Times New Roman" w:cs="Times New Roman"/>
          <w:sz w:val="24"/>
          <w:szCs w:val="24"/>
        </w:rPr>
        <w:t xml:space="preserve"> sredstava iz 2022. godine u 2023. godinu </w:t>
      </w:r>
      <w:r w:rsidR="007A447C" w:rsidRPr="006D0C54">
        <w:rPr>
          <w:rFonts w:ascii="Times New Roman" w:hAnsi="Times New Roman" w:cs="Times New Roman"/>
          <w:sz w:val="24"/>
          <w:szCs w:val="24"/>
        </w:rPr>
        <w:t xml:space="preserve">u iznosu </w:t>
      </w:r>
      <w:r w:rsidR="007A447C" w:rsidRPr="0080580C">
        <w:rPr>
          <w:rFonts w:ascii="Times New Roman" w:hAnsi="Times New Roman" w:cs="Times New Roman"/>
          <w:sz w:val="24"/>
          <w:szCs w:val="24"/>
        </w:rPr>
        <w:t xml:space="preserve">od </w:t>
      </w:r>
      <w:r w:rsidR="0074547F" w:rsidRPr="006D0C54">
        <w:rPr>
          <w:rFonts w:ascii="Times New Roman" w:hAnsi="Times New Roman" w:cs="Times New Roman"/>
          <w:sz w:val="24"/>
          <w:szCs w:val="24"/>
        </w:rPr>
        <w:t>12.2</w:t>
      </w:r>
      <w:r w:rsidR="0087160E">
        <w:rPr>
          <w:rFonts w:ascii="Times New Roman" w:hAnsi="Times New Roman" w:cs="Times New Roman"/>
          <w:sz w:val="24"/>
          <w:szCs w:val="24"/>
        </w:rPr>
        <w:t>09</w:t>
      </w:r>
      <w:r w:rsidR="0074547F" w:rsidRPr="006D0C54">
        <w:rPr>
          <w:rFonts w:ascii="Times New Roman" w:hAnsi="Times New Roman" w:cs="Times New Roman"/>
          <w:sz w:val="24"/>
          <w:szCs w:val="24"/>
        </w:rPr>
        <w:t>.</w:t>
      </w:r>
      <w:r w:rsidR="0087160E">
        <w:rPr>
          <w:rFonts w:ascii="Times New Roman" w:hAnsi="Times New Roman" w:cs="Times New Roman"/>
          <w:sz w:val="24"/>
          <w:szCs w:val="24"/>
        </w:rPr>
        <w:t>452</w:t>
      </w:r>
      <w:r w:rsidR="0074547F" w:rsidRPr="006D0C54">
        <w:rPr>
          <w:rFonts w:ascii="Times New Roman" w:hAnsi="Times New Roman" w:cs="Times New Roman"/>
          <w:sz w:val="24"/>
          <w:szCs w:val="24"/>
        </w:rPr>
        <w:t xml:space="preserve"> </w:t>
      </w:r>
      <w:r w:rsidR="00970453" w:rsidRPr="0080580C">
        <w:rPr>
          <w:rFonts w:ascii="Times New Roman" w:hAnsi="Times New Roman" w:cs="Times New Roman"/>
          <w:sz w:val="24"/>
          <w:szCs w:val="24"/>
        </w:rPr>
        <w:t>EUR</w:t>
      </w:r>
      <w:r w:rsidR="007A447C" w:rsidRPr="006D0C54">
        <w:rPr>
          <w:rFonts w:ascii="Times New Roman" w:hAnsi="Times New Roman" w:cs="Times New Roman"/>
          <w:sz w:val="24"/>
          <w:szCs w:val="24"/>
        </w:rPr>
        <w:t xml:space="preserve"> raspoređeno </w:t>
      </w:r>
      <w:r w:rsidR="00AB6C98" w:rsidRPr="006D0C54">
        <w:rPr>
          <w:rFonts w:ascii="Times New Roman" w:hAnsi="Times New Roman" w:cs="Times New Roman"/>
          <w:sz w:val="24"/>
          <w:szCs w:val="24"/>
        </w:rPr>
        <w:t xml:space="preserve">je </w:t>
      </w:r>
      <w:r w:rsidR="007A447C" w:rsidRPr="006D0C54">
        <w:rPr>
          <w:rFonts w:ascii="Times New Roman" w:hAnsi="Times New Roman" w:cs="Times New Roman"/>
          <w:sz w:val="24"/>
          <w:szCs w:val="24"/>
        </w:rPr>
        <w:t xml:space="preserve">po izvorima financiranja </w:t>
      </w:r>
      <w:r w:rsidR="002D3006" w:rsidRPr="006D0C54">
        <w:rPr>
          <w:rFonts w:ascii="Times New Roman" w:hAnsi="Times New Roman" w:cs="Times New Roman"/>
          <w:sz w:val="24"/>
          <w:szCs w:val="24"/>
        </w:rPr>
        <w:t>kako slijedi:</w:t>
      </w:r>
    </w:p>
    <w:p w14:paraId="3A8F33F4" w14:textId="77777777" w:rsidR="002D3006" w:rsidRPr="006D0C54" w:rsidRDefault="002D3006" w:rsidP="002D3006">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Vlastiti prihodi u iznosu od </w:t>
      </w:r>
      <w:r w:rsidR="005B1582" w:rsidRPr="006D0C54">
        <w:rPr>
          <w:rFonts w:ascii="Times New Roman" w:hAnsi="Times New Roman" w:cs="Times New Roman"/>
          <w:sz w:val="24"/>
          <w:szCs w:val="24"/>
        </w:rPr>
        <w:t>9.080.866</w:t>
      </w:r>
      <w:r w:rsidR="00046B32" w:rsidRPr="006D0C54">
        <w:rPr>
          <w:rFonts w:ascii="Times New Roman" w:hAnsi="Times New Roman" w:cs="Times New Roman"/>
          <w:sz w:val="24"/>
          <w:szCs w:val="24"/>
        </w:rPr>
        <w:t xml:space="preserve"> EUR</w:t>
      </w:r>
    </w:p>
    <w:p w14:paraId="22C8E7F7" w14:textId="409CF638" w:rsidR="002D3006" w:rsidRPr="006D0C54" w:rsidRDefault="002D3006" w:rsidP="002D3006">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Ostali prihodi za posebne namjene u iznosu od </w:t>
      </w:r>
      <w:r w:rsidR="0074547F" w:rsidRPr="006D0C54">
        <w:rPr>
          <w:rFonts w:ascii="Times New Roman" w:hAnsi="Times New Roman" w:cs="Times New Roman"/>
          <w:sz w:val="24"/>
          <w:szCs w:val="24"/>
        </w:rPr>
        <w:t>898.63</w:t>
      </w:r>
      <w:r w:rsidR="0087160E">
        <w:rPr>
          <w:rFonts w:ascii="Times New Roman" w:hAnsi="Times New Roman" w:cs="Times New Roman"/>
          <w:sz w:val="24"/>
          <w:szCs w:val="24"/>
        </w:rPr>
        <w:t>5</w:t>
      </w:r>
      <w:r w:rsidR="0074547F" w:rsidRPr="006D0C54">
        <w:rPr>
          <w:rFonts w:ascii="Times New Roman" w:hAnsi="Times New Roman" w:cs="Times New Roman"/>
          <w:sz w:val="24"/>
          <w:szCs w:val="24"/>
        </w:rPr>
        <w:t xml:space="preserve"> </w:t>
      </w:r>
      <w:r w:rsidR="00D11AA8" w:rsidRPr="006D0C54">
        <w:rPr>
          <w:rFonts w:ascii="Times New Roman" w:hAnsi="Times New Roman" w:cs="Times New Roman"/>
          <w:sz w:val="24"/>
          <w:szCs w:val="24"/>
        </w:rPr>
        <w:t>EUR</w:t>
      </w:r>
    </w:p>
    <w:p w14:paraId="1077BDC8" w14:textId="0C34506B" w:rsidR="002D3006" w:rsidRPr="006D0C54" w:rsidRDefault="002D3006" w:rsidP="002D3006">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Ostale pomoći u iznosu od </w:t>
      </w:r>
      <w:r w:rsidR="0074547F" w:rsidRPr="006D0C54">
        <w:rPr>
          <w:rFonts w:ascii="Times New Roman" w:hAnsi="Times New Roman" w:cs="Times New Roman"/>
          <w:sz w:val="24"/>
          <w:szCs w:val="24"/>
        </w:rPr>
        <w:t>29</w:t>
      </w:r>
      <w:r w:rsidR="0087160E">
        <w:rPr>
          <w:rFonts w:ascii="Times New Roman" w:hAnsi="Times New Roman" w:cs="Times New Roman"/>
          <w:sz w:val="24"/>
          <w:szCs w:val="24"/>
        </w:rPr>
        <w:t>6</w:t>
      </w:r>
      <w:r w:rsidR="0074547F" w:rsidRPr="006D0C54">
        <w:rPr>
          <w:rFonts w:ascii="Times New Roman" w:hAnsi="Times New Roman" w:cs="Times New Roman"/>
          <w:sz w:val="24"/>
          <w:szCs w:val="24"/>
        </w:rPr>
        <w:t>.</w:t>
      </w:r>
      <w:r w:rsidR="0087160E">
        <w:rPr>
          <w:rFonts w:ascii="Times New Roman" w:hAnsi="Times New Roman" w:cs="Times New Roman"/>
          <w:sz w:val="24"/>
          <w:szCs w:val="24"/>
        </w:rPr>
        <w:t>401</w:t>
      </w:r>
      <w:r w:rsidR="0074547F" w:rsidRPr="006D0C54">
        <w:rPr>
          <w:rFonts w:ascii="Times New Roman" w:hAnsi="Times New Roman" w:cs="Times New Roman"/>
          <w:sz w:val="24"/>
          <w:szCs w:val="24"/>
        </w:rPr>
        <w:t xml:space="preserve"> </w:t>
      </w:r>
      <w:r w:rsidR="00051F34" w:rsidRPr="006D0C54">
        <w:rPr>
          <w:rFonts w:ascii="Times New Roman" w:hAnsi="Times New Roman" w:cs="Times New Roman"/>
          <w:sz w:val="24"/>
          <w:szCs w:val="24"/>
        </w:rPr>
        <w:t>EUR</w:t>
      </w:r>
    </w:p>
    <w:p w14:paraId="5CB86D55" w14:textId="77777777" w:rsidR="002D3006" w:rsidRPr="006D0C54" w:rsidRDefault="002D3006" w:rsidP="002D3006">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Donacije u iznosu od </w:t>
      </w:r>
      <w:r w:rsidR="005B1582" w:rsidRPr="006D0C54">
        <w:rPr>
          <w:rFonts w:ascii="Times New Roman" w:hAnsi="Times New Roman" w:cs="Times New Roman"/>
          <w:sz w:val="24"/>
          <w:szCs w:val="24"/>
        </w:rPr>
        <w:t>1.907.701</w:t>
      </w:r>
      <w:r w:rsidR="00EA1327" w:rsidRPr="006D0C54">
        <w:rPr>
          <w:rFonts w:ascii="Times New Roman" w:hAnsi="Times New Roman" w:cs="Times New Roman"/>
          <w:sz w:val="24"/>
          <w:szCs w:val="24"/>
        </w:rPr>
        <w:t xml:space="preserve"> EUR</w:t>
      </w:r>
    </w:p>
    <w:p w14:paraId="2A474141" w14:textId="77777777" w:rsidR="00952613" w:rsidRPr="006D0C54" w:rsidRDefault="00952613" w:rsidP="002D3006">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Prihodi od nefinancijske imovine i naknade šteta s osnova osiguranja u iznosu od 25.849 EUR</w:t>
      </w:r>
    </w:p>
    <w:p w14:paraId="0A9F1942" w14:textId="77777777" w:rsidR="001701D7" w:rsidRPr="006D0C54" w:rsidRDefault="00124101" w:rsidP="001701D7">
      <w:pPr>
        <w:jc w:val="both"/>
        <w:rPr>
          <w:rFonts w:ascii="Times New Roman" w:hAnsi="Times New Roman" w:cs="Times New Roman"/>
          <w:sz w:val="24"/>
          <w:szCs w:val="24"/>
        </w:rPr>
      </w:pPr>
      <w:r w:rsidRPr="006D0C54">
        <w:rPr>
          <w:rFonts w:ascii="Times New Roman" w:hAnsi="Times New Roman" w:cs="Times New Roman"/>
          <w:sz w:val="24"/>
          <w:szCs w:val="24"/>
        </w:rPr>
        <w:t>Prijenos sredstava na izvoru vlastiti prihodi utrošen je na rashode za nabavu nefina</w:t>
      </w:r>
      <w:r w:rsidR="0063581A" w:rsidRPr="006D0C54">
        <w:rPr>
          <w:rFonts w:ascii="Times New Roman" w:hAnsi="Times New Roman" w:cs="Times New Roman"/>
          <w:sz w:val="24"/>
          <w:szCs w:val="24"/>
        </w:rPr>
        <w:t>n</w:t>
      </w:r>
      <w:r w:rsidRPr="006D0C54">
        <w:rPr>
          <w:rFonts w:ascii="Times New Roman" w:hAnsi="Times New Roman" w:cs="Times New Roman"/>
          <w:sz w:val="24"/>
          <w:szCs w:val="24"/>
        </w:rPr>
        <w:t xml:space="preserve">cijske imovine za predmete nabave </w:t>
      </w:r>
      <w:r w:rsidR="001701D7" w:rsidRPr="006D0C54">
        <w:rPr>
          <w:rFonts w:ascii="Times New Roman" w:hAnsi="Times New Roman" w:cs="Times New Roman"/>
          <w:sz w:val="24"/>
          <w:szCs w:val="24"/>
        </w:rPr>
        <w:t xml:space="preserve">koji </w:t>
      </w:r>
      <w:r w:rsidRPr="006D0C54">
        <w:rPr>
          <w:rFonts w:ascii="Times New Roman" w:hAnsi="Times New Roman" w:cs="Times New Roman"/>
          <w:sz w:val="24"/>
          <w:szCs w:val="24"/>
        </w:rPr>
        <w:t xml:space="preserve">su pokrenuti u 2022. godini, a nisu se uspjeli </w:t>
      </w:r>
      <w:r w:rsidR="0029506A" w:rsidRPr="006D0C54">
        <w:rPr>
          <w:rFonts w:ascii="Times New Roman" w:hAnsi="Times New Roman" w:cs="Times New Roman"/>
          <w:sz w:val="24"/>
          <w:szCs w:val="24"/>
        </w:rPr>
        <w:t>realizira</w:t>
      </w:r>
      <w:r w:rsidRPr="006D0C54">
        <w:rPr>
          <w:rFonts w:ascii="Times New Roman" w:hAnsi="Times New Roman" w:cs="Times New Roman"/>
          <w:sz w:val="24"/>
          <w:szCs w:val="24"/>
        </w:rPr>
        <w:t>ti</w:t>
      </w:r>
      <w:r w:rsidR="001701D7" w:rsidRPr="006D0C54">
        <w:rPr>
          <w:rFonts w:ascii="Times New Roman" w:hAnsi="Times New Roman" w:cs="Times New Roman"/>
          <w:sz w:val="24"/>
          <w:szCs w:val="24"/>
        </w:rPr>
        <w:t xml:space="preserve"> do kraja 2022. godine zbog trajanja samih postupaka kao i produžavanja rokova isporuka od strane isporučitelja u odnosu na planirane.</w:t>
      </w:r>
      <w:r w:rsidR="00D54E54" w:rsidRPr="006D0C54">
        <w:rPr>
          <w:rFonts w:ascii="Times New Roman" w:hAnsi="Times New Roman" w:cs="Times New Roman"/>
          <w:sz w:val="24"/>
          <w:szCs w:val="24"/>
        </w:rPr>
        <w:t xml:space="preserve"> </w:t>
      </w:r>
      <w:r w:rsidR="001701D7" w:rsidRPr="006D0C54">
        <w:rPr>
          <w:rFonts w:ascii="Times New Roman" w:hAnsi="Times New Roman" w:cs="Times New Roman"/>
          <w:sz w:val="24"/>
          <w:szCs w:val="24"/>
        </w:rPr>
        <w:t>Neutrošena sredstva na izvoru vlasti</w:t>
      </w:r>
      <w:r w:rsidRPr="006D0C54">
        <w:rPr>
          <w:rFonts w:ascii="Times New Roman" w:hAnsi="Times New Roman" w:cs="Times New Roman"/>
          <w:sz w:val="24"/>
          <w:szCs w:val="24"/>
        </w:rPr>
        <w:t>ti prihodi utrošena su</w:t>
      </w:r>
      <w:r w:rsidR="00280F08" w:rsidRPr="006D0C54">
        <w:rPr>
          <w:rFonts w:ascii="Times New Roman" w:hAnsi="Times New Roman" w:cs="Times New Roman"/>
          <w:sz w:val="24"/>
          <w:szCs w:val="24"/>
        </w:rPr>
        <w:t xml:space="preserve"> na nabavu medicinske opreme, nadogradnju PACS sustava i nadogradnju sustava nadzora nad administratorima najvišeg rizika te sustav za planiranje i onkološki informacijski sustav za potrebe radioterapije, a </w:t>
      </w:r>
      <w:r w:rsidR="0029506A" w:rsidRPr="006D0C54">
        <w:rPr>
          <w:rFonts w:ascii="Times New Roman" w:hAnsi="Times New Roman" w:cs="Times New Roman"/>
          <w:sz w:val="24"/>
          <w:szCs w:val="24"/>
        </w:rPr>
        <w:t xml:space="preserve">sve </w:t>
      </w:r>
      <w:r w:rsidR="001701D7" w:rsidRPr="006D0C54">
        <w:rPr>
          <w:rFonts w:ascii="Times New Roman" w:hAnsi="Times New Roman" w:cs="Times New Roman"/>
          <w:sz w:val="24"/>
          <w:szCs w:val="24"/>
        </w:rPr>
        <w:t xml:space="preserve">u svrhu podizanja funkcionalnosti i kvalitete pružanja zdravstvenih usluga. </w:t>
      </w:r>
    </w:p>
    <w:p w14:paraId="1498A6C3" w14:textId="77777777" w:rsidR="004047DB" w:rsidRPr="006D0C54" w:rsidRDefault="004047DB" w:rsidP="004047DB">
      <w:pPr>
        <w:jc w:val="both"/>
        <w:rPr>
          <w:rFonts w:ascii="Times New Roman" w:hAnsi="Times New Roman" w:cs="Times New Roman"/>
          <w:sz w:val="24"/>
          <w:szCs w:val="24"/>
        </w:rPr>
      </w:pPr>
      <w:r w:rsidRPr="006D0C54">
        <w:rPr>
          <w:rFonts w:ascii="Times New Roman" w:hAnsi="Times New Roman" w:cs="Times New Roman"/>
          <w:sz w:val="24"/>
          <w:szCs w:val="24"/>
        </w:rPr>
        <w:t xml:space="preserve">Ukupno planirani iznos neutrošenih sredstava na izvoru ostali prihodi za posebne namjene odnosi se na priljeve koji </w:t>
      </w:r>
      <w:r w:rsidR="004A7CEE" w:rsidRPr="006D0C54">
        <w:rPr>
          <w:rFonts w:ascii="Times New Roman" w:hAnsi="Times New Roman" w:cs="Times New Roman"/>
          <w:sz w:val="24"/>
          <w:szCs w:val="24"/>
        </w:rPr>
        <w:t>su ostvareni</w:t>
      </w:r>
      <w:r w:rsidRPr="006D0C54">
        <w:rPr>
          <w:rFonts w:ascii="Times New Roman" w:hAnsi="Times New Roman" w:cs="Times New Roman"/>
          <w:sz w:val="24"/>
          <w:szCs w:val="24"/>
        </w:rPr>
        <w:t xml:space="preserve"> u zadnjim danima 2022. godine, a koji se </w:t>
      </w:r>
      <w:r w:rsidR="004A7CEE" w:rsidRPr="006D0C54">
        <w:rPr>
          <w:rFonts w:ascii="Times New Roman" w:hAnsi="Times New Roman" w:cs="Times New Roman"/>
          <w:sz w:val="24"/>
          <w:szCs w:val="24"/>
        </w:rPr>
        <w:t>nisu stigli</w:t>
      </w:r>
      <w:r w:rsidRPr="006D0C54">
        <w:rPr>
          <w:rFonts w:ascii="Times New Roman" w:hAnsi="Times New Roman" w:cs="Times New Roman"/>
          <w:sz w:val="24"/>
          <w:szCs w:val="24"/>
        </w:rPr>
        <w:t xml:space="preserve"> utrošiti do kraja iste. </w:t>
      </w:r>
      <w:r w:rsidR="004A7CEE" w:rsidRPr="006D0C54">
        <w:rPr>
          <w:rFonts w:ascii="Times New Roman" w:hAnsi="Times New Roman" w:cs="Times New Roman"/>
          <w:sz w:val="24"/>
          <w:szCs w:val="24"/>
        </w:rPr>
        <w:t>Prijenos sredstava</w:t>
      </w:r>
      <w:r w:rsidRPr="006D0C54">
        <w:rPr>
          <w:rFonts w:ascii="Times New Roman" w:hAnsi="Times New Roman" w:cs="Times New Roman"/>
          <w:sz w:val="24"/>
          <w:szCs w:val="24"/>
        </w:rPr>
        <w:t xml:space="preserve"> na ovom izvoru </w:t>
      </w:r>
      <w:r w:rsidR="004A7CEE" w:rsidRPr="006D0C54">
        <w:rPr>
          <w:rFonts w:ascii="Times New Roman" w:hAnsi="Times New Roman" w:cs="Times New Roman"/>
          <w:sz w:val="24"/>
          <w:szCs w:val="24"/>
        </w:rPr>
        <w:t>utrošen je</w:t>
      </w:r>
      <w:r w:rsidRPr="006D0C54">
        <w:rPr>
          <w:rFonts w:ascii="Times New Roman" w:hAnsi="Times New Roman" w:cs="Times New Roman"/>
          <w:sz w:val="24"/>
          <w:szCs w:val="24"/>
        </w:rPr>
        <w:t xml:space="preserve"> za podmirenje dijela obveza za lijekove i potrošni medicinski materijal.</w:t>
      </w:r>
    </w:p>
    <w:p w14:paraId="3F4239A4" w14:textId="77777777" w:rsidR="00FD6B85" w:rsidRPr="006D0C54" w:rsidRDefault="00CF6AD6" w:rsidP="00D54E54">
      <w:pPr>
        <w:jc w:val="both"/>
        <w:rPr>
          <w:rFonts w:ascii="Times New Roman" w:hAnsi="Times New Roman" w:cs="Times New Roman"/>
          <w:sz w:val="24"/>
          <w:szCs w:val="24"/>
        </w:rPr>
      </w:pPr>
      <w:r w:rsidRPr="006D0C54">
        <w:rPr>
          <w:rFonts w:ascii="Times New Roman" w:hAnsi="Times New Roman" w:cs="Times New Roman"/>
          <w:sz w:val="24"/>
          <w:szCs w:val="24"/>
        </w:rPr>
        <w:t xml:space="preserve">Ukupno planirani iznos neutrošenih sredstava na izvoru </w:t>
      </w:r>
      <w:r w:rsidR="00C23B16" w:rsidRPr="006D0C54">
        <w:rPr>
          <w:rFonts w:ascii="Times New Roman" w:hAnsi="Times New Roman" w:cs="Times New Roman"/>
          <w:sz w:val="24"/>
          <w:szCs w:val="24"/>
        </w:rPr>
        <w:t>ostale pomoći</w:t>
      </w:r>
      <w:r w:rsidRPr="006D0C54">
        <w:rPr>
          <w:rFonts w:ascii="Times New Roman" w:hAnsi="Times New Roman" w:cs="Times New Roman"/>
          <w:sz w:val="24"/>
          <w:szCs w:val="24"/>
        </w:rPr>
        <w:t xml:space="preserve"> odnosi se na </w:t>
      </w:r>
      <w:r w:rsidR="005B7E25" w:rsidRPr="006D0C54">
        <w:rPr>
          <w:rFonts w:ascii="Times New Roman" w:hAnsi="Times New Roman" w:cs="Times New Roman"/>
          <w:sz w:val="24"/>
          <w:szCs w:val="24"/>
        </w:rPr>
        <w:t xml:space="preserve">sredstva primljena od Hrvatskog zavoda za zapošljavanje, a prema Ugovorima o dodjeli državne potpore za sufinanciranje zapošljavanja za stjecanje prvog radnog iskustva/pripravništva. </w:t>
      </w:r>
      <w:r w:rsidR="00D54E54" w:rsidRPr="006D0C54">
        <w:rPr>
          <w:rFonts w:ascii="Times New Roman" w:hAnsi="Times New Roman" w:cs="Times New Roman"/>
          <w:sz w:val="24"/>
          <w:szCs w:val="24"/>
        </w:rPr>
        <w:t xml:space="preserve">Neutrošena sredstva na ovom izvoru </w:t>
      </w:r>
      <w:r w:rsidR="003C487D" w:rsidRPr="006D0C54">
        <w:rPr>
          <w:rFonts w:ascii="Times New Roman" w:hAnsi="Times New Roman" w:cs="Times New Roman"/>
          <w:sz w:val="24"/>
          <w:szCs w:val="24"/>
        </w:rPr>
        <w:t>utrošena su</w:t>
      </w:r>
      <w:r w:rsidR="00D54E54" w:rsidRPr="006D0C54">
        <w:rPr>
          <w:rFonts w:ascii="Times New Roman" w:hAnsi="Times New Roman" w:cs="Times New Roman"/>
          <w:sz w:val="24"/>
          <w:szCs w:val="24"/>
        </w:rPr>
        <w:t xml:space="preserve"> za </w:t>
      </w:r>
      <w:r w:rsidR="005B7E25" w:rsidRPr="006D0C54">
        <w:rPr>
          <w:rFonts w:ascii="Times New Roman" w:hAnsi="Times New Roman" w:cs="Times New Roman"/>
          <w:sz w:val="24"/>
          <w:szCs w:val="24"/>
        </w:rPr>
        <w:t>isplatu plaća pripravnika.</w:t>
      </w:r>
      <w:r w:rsidR="00FD6B85" w:rsidRPr="006D0C54">
        <w:rPr>
          <w:rFonts w:ascii="Times New Roman" w:hAnsi="Times New Roman" w:cs="Times New Roman"/>
          <w:sz w:val="24"/>
          <w:szCs w:val="24"/>
        </w:rPr>
        <w:t xml:space="preserve"> </w:t>
      </w:r>
    </w:p>
    <w:p w14:paraId="6AAA2842" w14:textId="77777777" w:rsidR="002D3006" w:rsidRPr="006D0C54" w:rsidRDefault="00FC7DCA" w:rsidP="00FC7DCA">
      <w:pPr>
        <w:spacing w:line="240" w:lineRule="auto"/>
        <w:jc w:val="both"/>
        <w:rPr>
          <w:rFonts w:ascii="Times New Roman" w:hAnsi="Times New Roman" w:cs="Times New Roman"/>
          <w:sz w:val="24"/>
          <w:szCs w:val="24"/>
          <w:highlight w:val="yellow"/>
        </w:rPr>
      </w:pPr>
      <w:r w:rsidRPr="006D0C54">
        <w:rPr>
          <w:rFonts w:ascii="Times New Roman" w:hAnsi="Times New Roman" w:cs="Times New Roman"/>
          <w:sz w:val="24"/>
          <w:szCs w:val="24"/>
        </w:rPr>
        <w:t>Ukupno planirani iznos neutrošenih sredstava na izvoru donacije</w:t>
      </w:r>
      <w:r w:rsidR="002E4F07" w:rsidRPr="006D0C54">
        <w:rPr>
          <w:rFonts w:ascii="Times New Roman" w:hAnsi="Times New Roman" w:cs="Times New Roman"/>
          <w:sz w:val="24"/>
          <w:szCs w:val="24"/>
        </w:rPr>
        <w:t xml:space="preserve"> odnosi se na primljena namjenska sredstva od prav</w:t>
      </w:r>
      <w:r w:rsidR="001F78FC" w:rsidRPr="006D0C54">
        <w:rPr>
          <w:rFonts w:ascii="Times New Roman" w:hAnsi="Times New Roman" w:cs="Times New Roman"/>
          <w:sz w:val="24"/>
          <w:szCs w:val="24"/>
        </w:rPr>
        <w:t xml:space="preserve">nih i fizičkih osoba za obnovu i rekonstrukciju građevinskog objekta Klinike za ženske bolesti i porode. </w:t>
      </w:r>
      <w:r w:rsidR="001B7BB9" w:rsidRPr="006D0C54">
        <w:rPr>
          <w:rFonts w:ascii="Times New Roman" w:hAnsi="Times New Roman" w:cs="Times New Roman"/>
          <w:sz w:val="24"/>
          <w:szCs w:val="24"/>
        </w:rPr>
        <w:t>Prijenos sredstava n</w:t>
      </w:r>
      <w:r w:rsidR="00AE7151" w:rsidRPr="006D0C54">
        <w:rPr>
          <w:rFonts w:ascii="Times New Roman" w:hAnsi="Times New Roman" w:cs="Times New Roman"/>
          <w:sz w:val="24"/>
          <w:szCs w:val="24"/>
        </w:rPr>
        <w:t>a</w:t>
      </w:r>
      <w:r w:rsidR="001B7BB9" w:rsidRPr="006D0C54">
        <w:rPr>
          <w:rFonts w:ascii="Times New Roman" w:hAnsi="Times New Roman" w:cs="Times New Roman"/>
          <w:sz w:val="24"/>
          <w:szCs w:val="24"/>
        </w:rPr>
        <w:t xml:space="preserve"> </w:t>
      </w:r>
      <w:r w:rsidR="00AE7151" w:rsidRPr="006D0C54">
        <w:rPr>
          <w:rFonts w:ascii="Times New Roman" w:hAnsi="Times New Roman" w:cs="Times New Roman"/>
          <w:sz w:val="24"/>
          <w:szCs w:val="24"/>
        </w:rPr>
        <w:t>ovom izvoru utrošen je za potrebe izvođenja radova na uređenju dijela prostora zgrade Laboratorija na lokaciji Petrova te za nabavu UZV uređaja s tri sonde za potrebe Klinike za ženske bolesti i porode.</w:t>
      </w:r>
    </w:p>
    <w:p w14:paraId="7AFF09F0" w14:textId="62F80F94" w:rsidR="006F2832" w:rsidRPr="006D0C54" w:rsidRDefault="005D46CF" w:rsidP="006F2832">
      <w:p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lastRenderedPageBreak/>
        <w:t xml:space="preserve">Nakon podmirenja rashoda i izdataka </w:t>
      </w:r>
      <w:r w:rsidR="0049537E" w:rsidRPr="006D0C54">
        <w:rPr>
          <w:rFonts w:ascii="Times New Roman" w:hAnsi="Times New Roman" w:cs="Times New Roman"/>
          <w:sz w:val="24"/>
          <w:szCs w:val="24"/>
        </w:rPr>
        <w:t>u razdoblju siječanj-</w:t>
      </w:r>
      <w:r w:rsidR="00792C30">
        <w:rPr>
          <w:rFonts w:ascii="Times New Roman" w:hAnsi="Times New Roman" w:cs="Times New Roman"/>
          <w:sz w:val="24"/>
          <w:szCs w:val="24"/>
        </w:rPr>
        <w:t>prosinac</w:t>
      </w:r>
      <w:r w:rsidR="0049537E" w:rsidRPr="006D0C54">
        <w:rPr>
          <w:rFonts w:ascii="Times New Roman" w:hAnsi="Times New Roman" w:cs="Times New Roman"/>
          <w:sz w:val="24"/>
          <w:szCs w:val="24"/>
        </w:rPr>
        <w:t xml:space="preserve"> 2023. godine </w:t>
      </w:r>
      <w:r w:rsidRPr="006D0C54">
        <w:rPr>
          <w:rFonts w:ascii="Times New Roman" w:hAnsi="Times New Roman" w:cs="Times New Roman"/>
          <w:sz w:val="24"/>
          <w:szCs w:val="24"/>
        </w:rPr>
        <w:t>iz os</w:t>
      </w:r>
      <w:r w:rsidR="008050B7" w:rsidRPr="006D0C54">
        <w:rPr>
          <w:rFonts w:ascii="Times New Roman" w:hAnsi="Times New Roman" w:cs="Times New Roman"/>
          <w:sz w:val="24"/>
          <w:szCs w:val="24"/>
        </w:rPr>
        <w:t>tvarenih prihoda i primitaka tekuće godine</w:t>
      </w:r>
      <w:r w:rsidRPr="006D0C54">
        <w:rPr>
          <w:rFonts w:ascii="Times New Roman" w:hAnsi="Times New Roman" w:cs="Times New Roman"/>
          <w:sz w:val="24"/>
          <w:szCs w:val="24"/>
        </w:rPr>
        <w:t xml:space="preserve"> te iz prijenosa neutrošenih sredstava iz 2022. godine, </w:t>
      </w:r>
      <w:r w:rsidR="0049537E" w:rsidRPr="006D0C54">
        <w:rPr>
          <w:rFonts w:ascii="Times New Roman" w:hAnsi="Times New Roman" w:cs="Times New Roman"/>
          <w:sz w:val="24"/>
          <w:szCs w:val="24"/>
        </w:rPr>
        <w:t xml:space="preserve">sredstva u </w:t>
      </w:r>
      <w:r w:rsidRPr="006D0C54">
        <w:rPr>
          <w:rFonts w:ascii="Times New Roman" w:hAnsi="Times New Roman" w:cs="Times New Roman"/>
          <w:sz w:val="24"/>
          <w:szCs w:val="24"/>
        </w:rPr>
        <w:t>iznos</w:t>
      </w:r>
      <w:r w:rsidR="0049537E" w:rsidRPr="006D0C54">
        <w:rPr>
          <w:rFonts w:ascii="Times New Roman" w:hAnsi="Times New Roman" w:cs="Times New Roman"/>
          <w:sz w:val="24"/>
          <w:szCs w:val="24"/>
        </w:rPr>
        <w:t>u</w:t>
      </w:r>
      <w:r w:rsidRPr="006D0C54">
        <w:rPr>
          <w:rFonts w:ascii="Times New Roman" w:hAnsi="Times New Roman" w:cs="Times New Roman"/>
          <w:sz w:val="24"/>
          <w:szCs w:val="24"/>
        </w:rPr>
        <w:t xml:space="preserve"> od </w:t>
      </w:r>
      <w:r w:rsidR="00656FFA" w:rsidRPr="00281DDC">
        <w:rPr>
          <w:rFonts w:ascii="Times New Roman" w:hAnsi="Times New Roman" w:cs="Times New Roman"/>
          <w:sz w:val="24"/>
          <w:szCs w:val="24"/>
        </w:rPr>
        <w:t>1</w:t>
      </w:r>
      <w:r w:rsidR="00C069B9" w:rsidRPr="00281DDC">
        <w:rPr>
          <w:rFonts w:ascii="Times New Roman" w:hAnsi="Times New Roman" w:cs="Times New Roman"/>
          <w:sz w:val="24"/>
          <w:szCs w:val="24"/>
        </w:rPr>
        <w:t>3</w:t>
      </w:r>
      <w:r w:rsidR="00656FFA" w:rsidRPr="00281DDC">
        <w:rPr>
          <w:rFonts w:ascii="Times New Roman" w:hAnsi="Times New Roman" w:cs="Times New Roman"/>
          <w:sz w:val="24"/>
          <w:szCs w:val="24"/>
        </w:rPr>
        <w:t>.</w:t>
      </w:r>
      <w:r w:rsidR="00C069B9" w:rsidRPr="00281DDC">
        <w:rPr>
          <w:rFonts w:ascii="Times New Roman" w:hAnsi="Times New Roman" w:cs="Times New Roman"/>
          <w:sz w:val="24"/>
          <w:szCs w:val="24"/>
        </w:rPr>
        <w:t>825</w:t>
      </w:r>
      <w:r w:rsidR="00656FFA" w:rsidRPr="00281DDC">
        <w:rPr>
          <w:rFonts w:ascii="Times New Roman" w:hAnsi="Times New Roman" w:cs="Times New Roman"/>
          <w:sz w:val="24"/>
          <w:szCs w:val="24"/>
        </w:rPr>
        <w:t>.</w:t>
      </w:r>
      <w:r w:rsidR="00C069B9" w:rsidRPr="00281DDC">
        <w:rPr>
          <w:rFonts w:ascii="Times New Roman" w:hAnsi="Times New Roman" w:cs="Times New Roman"/>
          <w:sz w:val="24"/>
          <w:szCs w:val="24"/>
        </w:rPr>
        <w:t>763</w:t>
      </w:r>
      <w:r w:rsidRPr="00281DDC">
        <w:rPr>
          <w:rFonts w:ascii="Times New Roman" w:hAnsi="Times New Roman" w:cs="Times New Roman"/>
          <w:sz w:val="24"/>
          <w:szCs w:val="24"/>
        </w:rPr>
        <w:t xml:space="preserve"> </w:t>
      </w:r>
      <w:r w:rsidR="008050B7" w:rsidRPr="00281DDC">
        <w:rPr>
          <w:rFonts w:ascii="Times New Roman" w:hAnsi="Times New Roman" w:cs="Times New Roman"/>
          <w:sz w:val="24"/>
          <w:szCs w:val="24"/>
        </w:rPr>
        <w:t>EUR</w:t>
      </w:r>
      <w:r w:rsidR="008050B7" w:rsidRPr="006D0C54">
        <w:rPr>
          <w:rFonts w:ascii="Times New Roman" w:hAnsi="Times New Roman" w:cs="Times New Roman"/>
          <w:sz w:val="24"/>
          <w:szCs w:val="24"/>
        </w:rPr>
        <w:t xml:space="preserve"> </w:t>
      </w:r>
      <w:r w:rsidR="004C5D88">
        <w:rPr>
          <w:rFonts w:ascii="Times New Roman" w:hAnsi="Times New Roman" w:cs="Times New Roman"/>
          <w:sz w:val="24"/>
          <w:szCs w:val="24"/>
        </w:rPr>
        <w:t xml:space="preserve">ostaju raspoloživa za trošenje i </w:t>
      </w:r>
      <w:r w:rsidR="00792C30">
        <w:rPr>
          <w:rFonts w:ascii="Times New Roman" w:hAnsi="Times New Roman" w:cs="Times New Roman"/>
          <w:sz w:val="24"/>
          <w:szCs w:val="24"/>
        </w:rPr>
        <w:t xml:space="preserve">prenose se u </w:t>
      </w:r>
      <w:r w:rsidRPr="005E6A07">
        <w:rPr>
          <w:rFonts w:ascii="Times New Roman" w:hAnsi="Times New Roman" w:cs="Times New Roman"/>
          <w:sz w:val="24"/>
          <w:szCs w:val="24"/>
        </w:rPr>
        <w:t>202</w:t>
      </w:r>
      <w:r w:rsidR="00792C30">
        <w:rPr>
          <w:rFonts w:ascii="Times New Roman" w:hAnsi="Times New Roman" w:cs="Times New Roman"/>
          <w:sz w:val="24"/>
          <w:szCs w:val="24"/>
        </w:rPr>
        <w:t>4. godinu</w:t>
      </w:r>
      <w:r w:rsidR="006F2832">
        <w:rPr>
          <w:rFonts w:ascii="Times New Roman" w:hAnsi="Times New Roman" w:cs="Times New Roman"/>
          <w:sz w:val="24"/>
          <w:szCs w:val="24"/>
        </w:rPr>
        <w:t xml:space="preserve"> </w:t>
      </w:r>
      <w:r w:rsidR="006F2832" w:rsidRPr="006D0C54">
        <w:rPr>
          <w:rFonts w:ascii="Times New Roman" w:hAnsi="Times New Roman" w:cs="Times New Roman"/>
          <w:sz w:val="24"/>
          <w:szCs w:val="24"/>
        </w:rPr>
        <w:t>po izvorima financiranja kako slijedi:</w:t>
      </w:r>
    </w:p>
    <w:p w14:paraId="252D3E44" w14:textId="42781A60" w:rsidR="006F2832" w:rsidRPr="006D0C54" w:rsidRDefault="006F2832" w:rsidP="006F2832">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Vlastiti prihodi u iznosu od </w:t>
      </w:r>
      <w:r w:rsidR="00171926">
        <w:rPr>
          <w:rFonts w:ascii="Times New Roman" w:hAnsi="Times New Roman" w:cs="Times New Roman"/>
          <w:sz w:val="24"/>
          <w:szCs w:val="24"/>
        </w:rPr>
        <w:t>11.040.166</w:t>
      </w:r>
      <w:r w:rsidRPr="006D0C54">
        <w:rPr>
          <w:rFonts w:ascii="Times New Roman" w:hAnsi="Times New Roman" w:cs="Times New Roman"/>
          <w:sz w:val="24"/>
          <w:szCs w:val="24"/>
        </w:rPr>
        <w:t xml:space="preserve"> EUR</w:t>
      </w:r>
    </w:p>
    <w:p w14:paraId="53BA8DD8" w14:textId="03BD27B8" w:rsidR="006F2832" w:rsidRDefault="006F2832" w:rsidP="006F2832">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Ostali prihodi za posebne namjene u iznosu od </w:t>
      </w:r>
      <w:r w:rsidR="00171926">
        <w:rPr>
          <w:rFonts w:ascii="Times New Roman" w:hAnsi="Times New Roman" w:cs="Times New Roman"/>
          <w:sz w:val="24"/>
          <w:szCs w:val="24"/>
        </w:rPr>
        <w:t>877.386</w:t>
      </w:r>
      <w:r w:rsidRPr="006D0C54">
        <w:rPr>
          <w:rFonts w:ascii="Times New Roman" w:hAnsi="Times New Roman" w:cs="Times New Roman"/>
          <w:sz w:val="24"/>
          <w:szCs w:val="24"/>
        </w:rPr>
        <w:t xml:space="preserve"> EUR</w:t>
      </w:r>
    </w:p>
    <w:p w14:paraId="0AA97F8F" w14:textId="342BC483" w:rsidR="00171926" w:rsidRPr="006D0C54" w:rsidRDefault="00171926" w:rsidP="006F283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Pomoći EU u iznosu od 136.735 EUR</w:t>
      </w:r>
    </w:p>
    <w:p w14:paraId="36E07AD3" w14:textId="4C82E817" w:rsidR="006F2832" w:rsidRPr="006D0C54" w:rsidRDefault="006F2832" w:rsidP="006F2832">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Ostale pomoći u iznosu od </w:t>
      </w:r>
      <w:r w:rsidR="00171926">
        <w:rPr>
          <w:rFonts w:ascii="Times New Roman" w:hAnsi="Times New Roman" w:cs="Times New Roman"/>
          <w:sz w:val="24"/>
          <w:szCs w:val="24"/>
        </w:rPr>
        <w:t>432.830</w:t>
      </w:r>
      <w:r w:rsidRPr="006D0C54">
        <w:rPr>
          <w:rFonts w:ascii="Times New Roman" w:hAnsi="Times New Roman" w:cs="Times New Roman"/>
          <w:sz w:val="24"/>
          <w:szCs w:val="24"/>
        </w:rPr>
        <w:t xml:space="preserve"> EUR</w:t>
      </w:r>
    </w:p>
    <w:p w14:paraId="5CD4C4F2" w14:textId="04DB6D85" w:rsidR="006F2832" w:rsidRPr="006D0C54" w:rsidRDefault="006F2832" w:rsidP="006F2832">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Donacije u iznosu od </w:t>
      </w:r>
      <w:r w:rsidR="00171926">
        <w:rPr>
          <w:rFonts w:ascii="Times New Roman" w:hAnsi="Times New Roman" w:cs="Times New Roman"/>
          <w:sz w:val="24"/>
          <w:szCs w:val="24"/>
        </w:rPr>
        <w:t>1.326.350</w:t>
      </w:r>
      <w:r w:rsidRPr="006D0C54">
        <w:rPr>
          <w:rFonts w:ascii="Times New Roman" w:hAnsi="Times New Roman" w:cs="Times New Roman"/>
          <w:sz w:val="24"/>
          <w:szCs w:val="24"/>
        </w:rPr>
        <w:t xml:space="preserve"> EUR</w:t>
      </w:r>
    </w:p>
    <w:p w14:paraId="69945F03" w14:textId="0E3A139B" w:rsidR="006F2832" w:rsidRPr="006D0C54" w:rsidRDefault="006F2832" w:rsidP="006F2832">
      <w:pPr>
        <w:pStyle w:val="ListParagraph"/>
        <w:numPr>
          <w:ilvl w:val="0"/>
          <w:numId w:val="1"/>
        </w:numPr>
        <w:spacing w:line="240" w:lineRule="auto"/>
        <w:jc w:val="both"/>
        <w:rPr>
          <w:rFonts w:ascii="Times New Roman" w:hAnsi="Times New Roman" w:cs="Times New Roman"/>
          <w:sz w:val="24"/>
          <w:szCs w:val="24"/>
        </w:rPr>
      </w:pPr>
      <w:r w:rsidRPr="006D0C54">
        <w:rPr>
          <w:rFonts w:ascii="Times New Roman" w:hAnsi="Times New Roman" w:cs="Times New Roman"/>
          <w:sz w:val="24"/>
          <w:szCs w:val="24"/>
        </w:rPr>
        <w:t xml:space="preserve">Prihodi od nefinancijske imovine i naknade šteta s osnova osiguranja u iznosu od </w:t>
      </w:r>
      <w:r w:rsidR="00171926">
        <w:rPr>
          <w:rFonts w:ascii="Times New Roman" w:hAnsi="Times New Roman" w:cs="Times New Roman"/>
          <w:sz w:val="24"/>
          <w:szCs w:val="24"/>
        </w:rPr>
        <w:t>12.296</w:t>
      </w:r>
      <w:r w:rsidRPr="006D0C54">
        <w:rPr>
          <w:rFonts w:ascii="Times New Roman" w:hAnsi="Times New Roman" w:cs="Times New Roman"/>
          <w:sz w:val="24"/>
          <w:szCs w:val="24"/>
        </w:rPr>
        <w:t xml:space="preserve"> EUR</w:t>
      </w:r>
    </w:p>
    <w:p w14:paraId="54579BA3" w14:textId="617A8325" w:rsidR="003C28E1" w:rsidRDefault="003C28E1" w:rsidP="003C28E1">
      <w:pPr>
        <w:spacing w:line="240" w:lineRule="auto"/>
        <w:jc w:val="both"/>
        <w:rPr>
          <w:rFonts w:ascii="Times New Roman" w:hAnsi="Times New Roman" w:cs="Times New Roman"/>
          <w:sz w:val="24"/>
          <w:szCs w:val="24"/>
        </w:rPr>
      </w:pPr>
    </w:p>
    <w:p w14:paraId="5070896C" w14:textId="2C2465B9" w:rsidR="00511EFF" w:rsidRDefault="002A1A0E" w:rsidP="002A1A0E">
      <w:pPr>
        <w:rPr>
          <w:rFonts w:ascii="Times New Roman" w:hAnsi="Times New Roman" w:cs="Times New Roman"/>
          <w:sz w:val="24"/>
          <w:szCs w:val="24"/>
        </w:rPr>
      </w:pPr>
      <w:r>
        <w:rPr>
          <w:rFonts w:ascii="Times New Roman" w:hAnsi="Times New Roman" w:cs="Times New Roman"/>
          <w:sz w:val="24"/>
          <w:szCs w:val="24"/>
        </w:rPr>
        <w:t>S</w:t>
      </w:r>
      <w:r w:rsidRPr="009F5356">
        <w:rPr>
          <w:rFonts w:ascii="Times New Roman" w:hAnsi="Times New Roman" w:cs="Times New Roman"/>
          <w:sz w:val="24"/>
          <w:szCs w:val="24"/>
        </w:rPr>
        <w:t>tanj</w:t>
      </w:r>
      <w:r>
        <w:rPr>
          <w:rFonts w:ascii="Times New Roman" w:hAnsi="Times New Roman" w:cs="Times New Roman"/>
          <w:sz w:val="24"/>
          <w:szCs w:val="24"/>
        </w:rPr>
        <w:t>e</w:t>
      </w:r>
      <w:r w:rsidRPr="009F5356">
        <w:rPr>
          <w:rFonts w:ascii="Times New Roman" w:hAnsi="Times New Roman" w:cs="Times New Roman"/>
          <w:sz w:val="24"/>
          <w:szCs w:val="24"/>
        </w:rPr>
        <w:t xml:space="preserve"> novčanih sredstava na </w:t>
      </w:r>
      <w:r>
        <w:rPr>
          <w:rFonts w:ascii="Times New Roman" w:hAnsi="Times New Roman" w:cs="Times New Roman"/>
          <w:sz w:val="24"/>
          <w:szCs w:val="24"/>
        </w:rPr>
        <w:t>poslovnom računu</w:t>
      </w:r>
      <w:r w:rsidRPr="009F5356">
        <w:rPr>
          <w:rFonts w:ascii="Times New Roman" w:hAnsi="Times New Roman" w:cs="Times New Roman"/>
          <w:sz w:val="24"/>
          <w:szCs w:val="24"/>
        </w:rPr>
        <w:t xml:space="preserve"> na početku i na kraju proračunske godine</w:t>
      </w:r>
      <w:r>
        <w:rPr>
          <w:rFonts w:ascii="Times New Roman" w:hAnsi="Times New Roman" w:cs="Times New Roman"/>
          <w:sz w:val="24"/>
          <w:szCs w:val="24"/>
        </w:rPr>
        <w:t>:</w:t>
      </w:r>
    </w:p>
    <w:p w14:paraId="0B5F3849" w14:textId="77777777" w:rsidR="003C28E1" w:rsidRDefault="003C28E1" w:rsidP="002A1A0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32"/>
        <w:gridCol w:w="2725"/>
        <w:gridCol w:w="873"/>
        <w:gridCol w:w="1536"/>
        <w:gridCol w:w="1418"/>
      </w:tblGrid>
      <w:tr w:rsidR="00511EFF" w14:paraId="4C92D69B" w14:textId="77777777" w:rsidTr="00564616">
        <w:trPr>
          <w:trHeight w:val="311"/>
        </w:trPr>
        <w:tc>
          <w:tcPr>
            <w:tcW w:w="2232" w:type="dxa"/>
          </w:tcPr>
          <w:p w14:paraId="53D9AF17" w14:textId="77777777" w:rsidR="00511EFF" w:rsidRPr="00F36AF0" w:rsidRDefault="00511EFF" w:rsidP="00564616">
            <w:pPr>
              <w:jc w:val="center"/>
              <w:rPr>
                <w:rFonts w:ascii="Times New Roman" w:hAnsi="Times New Roman" w:cs="Times New Roman"/>
              </w:rPr>
            </w:pPr>
            <w:r w:rsidRPr="00F36AF0">
              <w:rPr>
                <w:rFonts w:ascii="Times New Roman" w:hAnsi="Times New Roman" w:cs="Times New Roman"/>
              </w:rPr>
              <w:t>Naziv banke</w:t>
            </w:r>
          </w:p>
        </w:tc>
        <w:tc>
          <w:tcPr>
            <w:tcW w:w="2725" w:type="dxa"/>
          </w:tcPr>
          <w:p w14:paraId="611EF898" w14:textId="77777777" w:rsidR="00511EFF" w:rsidRPr="00F36AF0" w:rsidRDefault="00511EFF" w:rsidP="00564616">
            <w:pPr>
              <w:jc w:val="center"/>
              <w:rPr>
                <w:rFonts w:ascii="Times New Roman" w:hAnsi="Times New Roman" w:cs="Times New Roman"/>
              </w:rPr>
            </w:pPr>
            <w:r w:rsidRPr="00F36AF0">
              <w:rPr>
                <w:rFonts w:ascii="Times New Roman" w:hAnsi="Times New Roman" w:cs="Times New Roman"/>
              </w:rPr>
              <w:t>Broj računa</w:t>
            </w:r>
          </w:p>
        </w:tc>
        <w:tc>
          <w:tcPr>
            <w:tcW w:w="873" w:type="dxa"/>
          </w:tcPr>
          <w:p w14:paraId="7C33C6FE" w14:textId="77777777" w:rsidR="00511EFF" w:rsidRPr="00F36AF0" w:rsidRDefault="00511EFF" w:rsidP="00564616">
            <w:pPr>
              <w:jc w:val="center"/>
              <w:rPr>
                <w:rFonts w:ascii="Times New Roman" w:hAnsi="Times New Roman" w:cs="Times New Roman"/>
              </w:rPr>
            </w:pPr>
            <w:r w:rsidRPr="00F36AF0">
              <w:rPr>
                <w:rFonts w:ascii="Times New Roman" w:hAnsi="Times New Roman" w:cs="Times New Roman"/>
              </w:rPr>
              <w:t>Valuta</w:t>
            </w:r>
          </w:p>
        </w:tc>
        <w:tc>
          <w:tcPr>
            <w:tcW w:w="1536" w:type="dxa"/>
          </w:tcPr>
          <w:p w14:paraId="6965EE10" w14:textId="77777777" w:rsidR="00511EFF" w:rsidRPr="00F36AF0" w:rsidRDefault="00511EFF" w:rsidP="00564616">
            <w:pPr>
              <w:jc w:val="center"/>
              <w:rPr>
                <w:rFonts w:ascii="Times New Roman" w:hAnsi="Times New Roman" w:cs="Times New Roman"/>
              </w:rPr>
            </w:pPr>
            <w:r w:rsidRPr="00F36AF0">
              <w:rPr>
                <w:rFonts w:ascii="Times New Roman" w:hAnsi="Times New Roman" w:cs="Times New Roman"/>
              </w:rPr>
              <w:t>01.01.2023.</w:t>
            </w:r>
          </w:p>
        </w:tc>
        <w:tc>
          <w:tcPr>
            <w:tcW w:w="1418" w:type="dxa"/>
          </w:tcPr>
          <w:p w14:paraId="066ADC51" w14:textId="0854E05C" w:rsidR="00511EFF" w:rsidRPr="00F36AF0" w:rsidRDefault="00511EFF" w:rsidP="00564616">
            <w:pPr>
              <w:jc w:val="center"/>
              <w:rPr>
                <w:rFonts w:ascii="Times New Roman" w:hAnsi="Times New Roman" w:cs="Times New Roman"/>
              </w:rPr>
            </w:pPr>
            <w:r w:rsidRPr="00F36AF0">
              <w:rPr>
                <w:rFonts w:ascii="Times New Roman" w:hAnsi="Times New Roman" w:cs="Times New Roman"/>
              </w:rPr>
              <w:t>31.12.2023.</w:t>
            </w:r>
          </w:p>
        </w:tc>
      </w:tr>
      <w:tr w:rsidR="00511EFF" w14:paraId="2CD82981" w14:textId="77777777" w:rsidTr="00564616">
        <w:trPr>
          <w:trHeight w:val="343"/>
        </w:trPr>
        <w:tc>
          <w:tcPr>
            <w:tcW w:w="2232" w:type="dxa"/>
          </w:tcPr>
          <w:p w14:paraId="383FE794" w14:textId="77777777" w:rsidR="00511EFF" w:rsidRPr="00F36AF0" w:rsidRDefault="00511EFF" w:rsidP="00564616">
            <w:pPr>
              <w:jc w:val="center"/>
              <w:rPr>
                <w:rFonts w:ascii="Times New Roman" w:hAnsi="Times New Roman" w:cs="Times New Roman"/>
              </w:rPr>
            </w:pPr>
            <w:r w:rsidRPr="00F36AF0">
              <w:rPr>
                <w:rFonts w:ascii="Times New Roman" w:hAnsi="Times New Roman" w:cs="Times New Roman"/>
              </w:rPr>
              <w:t>Zagrebačka banka</w:t>
            </w:r>
          </w:p>
        </w:tc>
        <w:tc>
          <w:tcPr>
            <w:tcW w:w="2725" w:type="dxa"/>
          </w:tcPr>
          <w:p w14:paraId="06A3E87E" w14:textId="77777777" w:rsidR="00511EFF" w:rsidRPr="00F36AF0" w:rsidRDefault="00511EFF" w:rsidP="003B2507">
            <w:pPr>
              <w:rPr>
                <w:rFonts w:ascii="Times New Roman" w:hAnsi="Times New Roman" w:cs="Times New Roman"/>
              </w:rPr>
            </w:pPr>
            <w:r w:rsidRPr="00F36AF0">
              <w:rPr>
                <w:rFonts w:ascii="Times New Roman" w:hAnsi="Times New Roman" w:cs="Times New Roman"/>
              </w:rPr>
              <w:t>HR9023600001101379818</w:t>
            </w:r>
          </w:p>
        </w:tc>
        <w:tc>
          <w:tcPr>
            <w:tcW w:w="873" w:type="dxa"/>
          </w:tcPr>
          <w:p w14:paraId="591AE770" w14:textId="77777777" w:rsidR="00511EFF" w:rsidRPr="00F36AF0" w:rsidRDefault="00511EFF" w:rsidP="00564616">
            <w:pPr>
              <w:jc w:val="center"/>
              <w:rPr>
                <w:rFonts w:ascii="Times New Roman" w:hAnsi="Times New Roman" w:cs="Times New Roman"/>
              </w:rPr>
            </w:pPr>
            <w:r w:rsidRPr="00F36AF0">
              <w:rPr>
                <w:rFonts w:ascii="Times New Roman" w:hAnsi="Times New Roman" w:cs="Times New Roman"/>
              </w:rPr>
              <w:t>EUR</w:t>
            </w:r>
          </w:p>
        </w:tc>
        <w:tc>
          <w:tcPr>
            <w:tcW w:w="1536" w:type="dxa"/>
          </w:tcPr>
          <w:p w14:paraId="782DA055" w14:textId="77777777" w:rsidR="00511EFF" w:rsidRPr="00F36AF0" w:rsidRDefault="00511EFF" w:rsidP="003B2507">
            <w:pPr>
              <w:jc w:val="right"/>
              <w:rPr>
                <w:rFonts w:ascii="Times New Roman" w:hAnsi="Times New Roman" w:cs="Times New Roman"/>
              </w:rPr>
            </w:pPr>
            <w:r w:rsidRPr="00F36AF0">
              <w:rPr>
                <w:rFonts w:ascii="Times New Roman" w:hAnsi="Times New Roman" w:cs="Times New Roman"/>
              </w:rPr>
              <w:t>71.017,21</w:t>
            </w:r>
          </w:p>
        </w:tc>
        <w:tc>
          <w:tcPr>
            <w:tcW w:w="1418" w:type="dxa"/>
          </w:tcPr>
          <w:p w14:paraId="096CC542" w14:textId="77777777" w:rsidR="00511EFF" w:rsidRPr="00F36AF0" w:rsidRDefault="00511EFF" w:rsidP="003B2507">
            <w:pPr>
              <w:jc w:val="right"/>
              <w:rPr>
                <w:rFonts w:ascii="Times New Roman" w:hAnsi="Times New Roman" w:cs="Times New Roman"/>
              </w:rPr>
            </w:pPr>
            <w:r w:rsidRPr="00F36AF0">
              <w:rPr>
                <w:rFonts w:ascii="Times New Roman" w:hAnsi="Times New Roman" w:cs="Times New Roman"/>
              </w:rPr>
              <w:t>102.360.12</w:t>
            </w:r>
          </w:p>
        </w:tc>
      </w:tr>
      <w:tr w:rsidR="00511EFF" w14:paraId="60800DF0" w14:textId="77777777" w:rsidTr="00564616">
        <w:trPr>
          <w:trHeight w:val="294"/>
        </w:trPr>
        <w:tc>
          <w:tcPr>
            <w:tcW w:w="2232" w:type="dxa"/>
          </w:tcPr>
          <w:p w14:paraId="7BBCFA00" w14:textId="77777777" w:rsidR="00511EFF" w:rsidRPr="00F36AF0" w:rsidRDefault="00511EFF" w:rsidP="00564616">
            <w:pPr>
              <w:jc w:val="center"/>
              <w:rPr>
                <w:rFonts w:ascii="Times New Roman" w:hAnsi="Times New Roman" w:cs="Times New Roman"/>
              </w:rPr>
            </w:pPr>
            <w:r w:rsidRPr="00F36AF0">
              <w:rPr>
                <w:rFonts w:ascii="Times New Roman" w:hAnsi="Times New Roman" w:cs="Times New Roman"/>
              </w:rPr>
              <w:t>Zagrebačka banka</w:t>
            </w:r>
          </w:p>
        </w:tc>
        <w:tc>
          <w:tcPr>
            <w:tcW w:w="2725" w:type="dxa"/>
          </w:tcPr>
          <w:p w14:paraId="1BCFBE6C" w14:textId="77777777" w:rsidR="00511EFF" w:rsidRPr="00F36AF0" w:rsidRDefault="00511EFF" w:rsidP="003B2507">
            <w:pPr>
              <w:rPr>
                <w:rFonts w:ascii="Times New Roman" w:hAnsi="Times New Roman" w:cs="Times New Roman"/>
              </w:rPr>
            </w:pPr>
            <w:r w:rsidRPr="00F36AF0">
              <w:rPr>
                <w:rFonts w:ascii="Times New Roman" w:hAnsi="Times New Roman" w:cs="Times New Roman"/>
              </w:rPr>
              <w:t>HR9023600001101379818</w:t>
            </w:r>
          </w:p>
        </w:tc>
        <w:tc>
          <w:tcPr>
            <w:tcW w:w="873" w:type="dxa"/>
          </w:tcPr>
          <w:p w14:paraId="0BC908C8" w14:textId="77777777" w:rsidR="00511EFF" w:rsidRPr="00F36AF0" w:rsidRDefault="00511EFF" w:rsidP="00564616">
            <w:pPr>
              <w:jc w:val="center"/>
              <w:rPr>
                <w:rFonts w:ascii="Times New Roman" w:hAnsi="Times New Roman" w:cs="Times New Roman"/>
              </w:rPr>
            </w:pPr>
            <w:r w:rsidRPr="00F36AF0">
              <w:rPr>
                <w:rFonts w:ascii="Times New Roman" w:hAnsi="Times New Roman" w:cs="Times New Roman"/>
              </w:rPr>
              <w:t>USD</w:t>
            </w:r>
          </w:p>
        </w:tc>
        <w:tc>
          <w:tcPr>
            <w:tcW w:w="1536" w:type="dxa"/>
          </w:tcPr>
          <w:p w14:paraId="3A62A870" w14:textId="77777777" w:rsidR="00511EFF" w:rsidRPr="00F36AF0" w:rsidRDefault="00511EFF" w:rsidP="003B2507">
            <w:pPr>
              <w:jc w:val="right"/>
              <w:rPr>
                <w:rFonts w:ascii="Times New Roman" w:hAnsi="Times New Roman" w:cs="Times New Roman"/>
              </w:rPr>
            </w:pPr>
            <w:r w:rsidRPr="00F36AF0">
              <w:rPr>
                <w:rFonts w:ascii="Times New Roman" w:hAnsi="Times New Roman" w:cs="Times New Roman"/>
              </w:rPr>
              <w:t>0,01</w:t>
            </w:r>
          </w:p>
        </w:tc>
        <w:tc>
          <w:tcPr>
            <w:tcW w:w="1418" w:type="dxa"/>
          </w:tcPr>
          <w:p w14:paraId="75E4AAF9" w14:textId="77777777" w:rsidR="00511EFF" w:rsidRPr="00F36AF0" w:rsidRDefault="00511EFF" w:rsidP="003B2507">
            <w:pPr>
              <w:jc w:val="right"/>
              <w:rPr>
                <w:rFonts w:ascii="Times New Roman" w:hAnsi="Times New Roman" w:cs="Times New Roman"/>
              </w:rPr>
            </w:pPr>
            <w:r w:rsidRPr="00F36AF0">
              <w:rPr>
                <w:rFonts w:ascii="Times New Roman" w:hAnsi="Times New Roman" w:cs="Times New Roman"/>
              </w:rPr>
              <w:t>0,01</w:t>
            </w:r>
          </w:p>
        </w:tc>
      </w:tr>
    </w:tbl>
    <w:p w14:paraId="66C5F876" w14:textId="767CDA3C" w:rsidR="00513DAC" w:rsidRDefault="00513DAC" w:rsidP="00511EFF">
      <w:pPr>
        <w:rPr>
          <w:rFonts w:ascii="Times New Roman" w:hAnsi="Times New Roman" w:cs="Times New Roman"/>
          <w:sz w:val="24"/>
          <w:szCs w:val="24"/>
        </w:rPr>
      </w:pPr>
    </w:p>
    <w:p w14:paraId="2ECD22E3" w14:textId="0EC0384F" w:rsidR="00FD16A1" w:rsidRDefault="00FD16A1" w:rsidP="00511EFF">
      <w:pPr>
        <w:rPr>
          <w:rFonts w:ascii="Times New Roman" w:hAnsi="Times New Roman" w:cs="Times New Roman"/>
          <w:sz w:val="24"/>
          <w:szCs w:val="24"/>
        </w:rPr>
      </w:pPr>
    </w:p>
    <w:p w14:paraId="7F3CDA01" w14:textId="5C84581D" w:rsidR="00FD16A1" w:rsidRDefault="00FD16A1" w:rsidP="00511EFF">
      <w:pPr>
        <w:rPr>
          <w:rFonts w:ascii="Times New Roman" w:hAnsi="Times New Roman" w:cs="Times New Roman"/>
          <w:sz w:val="24"/>
          <w:szCs w:val="24"/>
        </w:rPr>
      </w:pPr>
    </w:p>
    <w:p w14:paraId="5C354532" w14:textId="02AC8841" w:rsidR="00FD16A1" w:rsidRDefault="00FD16A1" w:rsidP="00511EFF">
      <w:pPr>
        <w:rPr>
          <w:rFonts w:ascii="Times New Roman" w:hAnsi="Times New Roman" w:cs="Times New Roman"/>
          <w:sz w:val="24"/>
          <w:szCs w:val="24"/>
        </w:rPr>
      </w:pPr>
    </w:p>
    <w:p w14:paraId="2FF3C71C" w14:textId="362A3812" w:rsidR="00FD16A1" w:rsidRDefault="00FD16A1" w:rsidP="00511EFF">
      <w:pPr>
        <w:rPr>
          <w:rFonts w:ascii="Times New Roman" w:hAnsi="Times New Roman" w:cs="Times New Roman"/>
          <w:sz w:val="24"/>
          <w:szCs w:val="24"/>
        </w:rPr>
      </w:pPr>
    </w:p>
    <w:p w14:paraId="0CB5CC2E" w14:textId="3566B8AF" w:rsidR="00FD16A1" w:rsidRDefault="00FD16A1" w:rsidP="00511EFF">
      <w:pPr>
        <w:rPr>
          <w:rFonts w:ascii="Times New Roman" w:hAnsi="Times New Roman" w:cs="Times New Roman"/>
          <w:sz w:val="24"/>
          <w:szCs w:val="24"/>
        </w:rPr>
      </w:pPr>
    </w:p>
    <w:p w14:paraId="40C7DF5A" w14:textId="4ED04800" w:rsidR="00FD16A1" w:rsidRDefault="00FD16A1" w:rsidP="00511EFF">
      <w:pPr>
        <w:rPr>
          <w:rFonts w:ascii="Times New Roman" w:hAnsi="Times New Roman" w:cs="Times New Roman"/>
          <w:sz w:val="24"/>
          <w:szCs w:val="24"/>
        </w:rPr>
      </w:pPr>
    </w:p>
    <w:p w14:paraId="27670CB5" w14:textId="375F3407" w:rsidR="00FD16A1" w:rsidRDefault="00FD16A1" w:rsidP="00511EFF">
      <w:pPr>
        <w:rPr>
          <w:rFonts w:ascii="Times New Roman" w:hAnsi="Times New Roman" w:cs="Times New Roman"/>
          <w:sz w:val="24"/>
          <w:szCs w:val="24"/>
        </w:rPr>
      </w:pPr>
    </w:p>
    <w:p w14:paraId="5A5BB3D4" w14:textId="0B0EAA34" w:rsidR="00FD16A1" w:rsidRDefault="00FD16A1" w:rsidP="00511EFF">
      <w:pPr>
        <w:rPr>
          <w:rFonts w:ascii="Times New Roman" w:hAnsi="Times New Roman" w:cs="Times New Roman"/>
          <w:sz w:val="24"/>
          <w:szCs w:val="24"/>
        </w:rPr>
      </w:pPr>
    </w:p>
    <w:p w14:paraId="4CA44CBB" w14:textId="5620727B" w:rsidR="00FD16A1" w:rsidRDefault="00FD16A1" w:rsidP="00511EFF">
      <w:pPr>
        <w:rPr>
          <w:rFonts w:ascii="Times New Roman" w:hAnsi="Times New Roman" w:cs="Times New Roman"/>
          <w:sz w:val="24"/>
          <w:szCs w:val="24"/>
        </w:rPr>
      </w:pPr>
    </w:p>
    <w:p w14:paraId="35D4BCA4" w14:textId="3D559EE5" w:rsidR="00FD16A1" w:rsidRDefault="00FD16A1" w:rsidP="00511EFF">
      <w:pPr>
        <w:rPr>
          <w:rFonts w:ascii="Times New Roman" w:hAnsi="Times New Roman" w:cs="Times New Roman"/>
          <w:sz w:val="24"/>
          <w:szCs w:val="24"/>
        </w:rPr>
      </w:pPr>
    </w:p>
    <w:p w14:paraId="18BD7D54" w14:textId="387DB397" w:rsidR="00FD16A1" w:rsidRDefault="00FD16A1" w:rsidP="00511EFF">
      <w:pPr>
        <w:rPr>
          <w:rFonts w:ascii="Times New Roman" w:hAnsi="Times New Roman" w:cs="Times New Roman"/>
          <w:sz w:val="24"/>
          <w:szCs w:val="24"/>
        </w:rPr>
      </w:pPr>
    </w:p>
    <w:p w14:paraId="495F8AE9" w14:textId="7160EB6D" w:rsidR="00FD16A1" w:rsidRDefault="00FD16A1" w:rsidP="00511EFF">
      <w:pPr>
        <w:rPr>
          <w:rFonts w:ascii="Times New Roman" w:hAnsi="Times New Roman" w:cs="Times New Roman"/>
          <w:sz w:val="24"/>
          <w:szCs w:val="24"/>
        </w:rPr>
      </w:pPr>
    </w:p>
    <w:p w14:paraId="2E34AC2F" w14:textId="35BE5D05" w:rsidR="00FD16A1" w:rsidRDefault="00FD16A1" w:rsidP="00511EFF">
      <w:pPr>
        <w:rPr>
          <w:rFonts w:ascii="Times New Roman" w:hAnsi="Times New Roman" w:cs="Times New Roman"/>
          <w:sz w:val="24"/>
          <w:szCs w:val="24"/>
        </w:rPr>
      </w:pPr>
    </w:p>
    <w:p w14:paraId="63034967" w14:textId="1023E44A" w:rsidR="00FD16A1" w:rsidRDefault="00FD16A1" w:rsidP="00511EFF">
      <w:pPr>
        <w:rPr>
          <w:rFonts w:ascii="Times New Roman" w:hAnsi="Times New Roman" w:cs="Times New Roman"/>
          <w:sz w:val="24"/>
          <w:szCs w:val="24"/>
        </w:rPr>
      </w:pPr>
    </w:p>
    <w:p w14:paraId="4BF9A5A0" w14:textId="4353D48D" w:rsidR="00FD16A1" w:rsidRDefault="00FD16A1" w:rsidP="00511EFF">
      <w:pPr>
        <w:rPr>
          <w:rFonts w:ascii="Times New Roman" w:hAnsi="Times New Roman" w:cs="Times New Roman"/>
          <w:sz w:val="24"/>
          <w:szCs w:val="24"/>
        </w:rPr>
      </w:pPr>
    </w:p>
    <w:p w14:paraId="020DEE82" w14:textId="6B839710" w:rsidR="00FD16A1" w:rsidRDefault="00FD16A1" w:rsidP="00511EFF">
      <w:pPr>
        <w:rPr>
          <w:rFonts w:ascii="Times New Roman" w:hAnsi="Times New Roman" w:cs="Times New Roman"/>
          <w:sz w:val="24"/>
          <w:szCs w:val="24"/>
        </w:rPr>
      </w:pPr>
    </w:p>
    <w:p w14:paraId="3247369A" w14:textId="392DFD58" w:rsidR="00FD16A1" w:rsidRDefault="00FD16A1" w:rsidP="00511EFF">
      <w:pPr>
        <w:rPr>
          <w:rFonts w:ascii="Times New Roman" w:hAnsi="Times New Roman" w:cs="Times New Roman"/>
          <w:sz w:val="24"/>
          <w:szCs w:val="24"/>
        </w:rPr>
      </w:pPr>
    </w:p>
    <w:p w14:paraId="3D2C0A07" w14:textId="77777777" w:rsidR="00E051CA" w:rsidRPr="00E051CA" w:rsidRDefault="00E051CA" w:rsidP="00E051CA">
      <w:pPr>
        <w:keepNext/>
        <w:keepLines/>
        <w:pBdr>
          <w:top w:val="single" w:sz="4" w:space="1" w:color="auto"/>
          <w:bottom w:val="single" w:sz="4" w:space="1" w:color="auto"/>
        </w:pBdr>
        <w:shd w:val="clear" w:color="auto" w:fill="E6E6E6"/>
        <w:overflowPunct w:val="0"/>
        <w:autoSpaceDE w:val="0"/>
        <w:autoSpaceDN w:val="0"/>
        <w:adjustRightInd w:val="0"/>
        <w:spacing w:after="120" w:line="240" w:lineRule="auto"/>
        <w:textAlignment w:val="baseline"/>
        <w:outlineLvl w:val="1"/>
        <w:rPr>
          <w:rFonts w:ascii="Times New Roman" w:eastAsia="Times New Roman" w:hAnsi="Times New Roman" w:cs="Times New Roman"/>
          <w:b/>
          <w:noProof/>
          <w:spacing w:val="20"/>
          <w:sz w:val="24"/>
          <w:szCs w:val="24"/>
        </w:rPr>
      </w:pPr>
      <w:r w:rsidRPr="00E051CA">
        <w:rPr>
          <w:rFonts w:ascii="Times New Roman" w:eastAsia="Times New Roman" w:hAnsi="Times New Roman" w:cs="Times New Roman"/>
          <w:b/>
          <w:noProof/>
          <w:spacing w:val="20"/>
          <w:sz w:val="24"/>
          <w:szCs w:val="24"/>
        </w:rPr>
        <w:lastRenderedPageBreak/>
        <w:t>38069 Klinički bolnički centar Zagreb</w:t>
      </w:r>
    </w:p>
    <w:p w14:paraId="5D89719A"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U skladu sa Zakonom o ustanovama i Zakonom o sudskom registru, KBC Zagreb je upisan kao Klinički bolnički centar Zagreb, Zagreb, Kišpatićeva 12, u sudskom registru Trgovačkog suda u Zagrebu, 12. studenog 1997. godine. Klinički bolnički centar Zagreb je središnja te po mnogim medicinskim postupcima jedinstvena bolnička ustanova u Hrvatskoj koja obavlja slijedeće djelatnosti: Bolničku zdravstvenu zaštitu, Hitnu medicinu u objedinjenom hitnom bolničkom prijemu, Anesteziologiju, reanimatologiju i intenzivnu medicinu, Transfuzijsku medicinu, Djelatnost medicinsko-biokemijskog laboratorija, Djelatnost uzimanja, pohranjivanja i presađivanja tkiva, Zdravstvenu njegu, boravak i prehranu bolesnika, Specijalističko-konzilijarnu zdravstvenu zaštitu, Znanstveni i nastavni rad, Bolničku ljekarnu i DDD djelatnost za vlastite potrebe. Klinički bolnički centar Zagreb posluje samostalno i obavlja svoju djelatnost na način određen Zakonom o zdravstvenoj zaštiti, Statutom KBC-a Zagreb i drugim općim aktima. Osim primarne zadaće, skrbi o bolesnicima, u KBC-u Zagreb redovito se obavlja dodiplomska i poslijediplomska nastava Medicinskog fakulteta  Sveučilišta u Zagrebu kao i obrazovanje specijalizanata svih medicinskih specijalizacija te je razvijena i znanstveno-istraživačka djelatnost s nizom hrvatskih, multicentričnih i međunarodnih znanstvenih projekata i istraživanja.</w:t>
      </w:r>
    </w:p>
    <w:p w14:paraId="7CD81096"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 xml:space="preserve">Cilj je unaprijediti sustav tako da se osiguravanjem pravodobnog pristupa zdravstvenim uslugama zadovolje potrebe građana Republike Hrvatske s kvalitetnom stručno medicinskom zdravstvenom skrbi koja obuhvaća liječenje i rehabilitaciju bolesnika. Kvalitetan i sveobuhvatan skup zdravstvenih usluga, koje KBC Zagreb pruža na razini tercijarne i sekundarne zdravstvene zaštite, treba biti u središtu zdravstvenog sustava. </w:t>
      </w:r>
    </w:p>
    <w:p w14:paraId="08013D10"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Provođenje aktivnosti na unapređenju sustava bolničke zdravstvene zaštite tako da se osiguranjem uvjeta u pogledu prostora, radnika i medicinsko-tehničke opreme stvaraju osnovni preduvjeti za pružanje pravovremene i kvalitetne zdravstvene zaštite i to na načelima kontinuiranosti, sveobuhvatnosti, dostupnosti, cjelovitog i specijaliziranog pristupa. Osigurati jednaku dostupnost  zdravstvenih usluga svim korisnicima zdravstvene zaštite s naglaskom na smanjenje listi čekanja za pojedine dijagnostičke i terapijske postupke te razvoj dnevne bolnice.</w:t>
      </w:r>
    </w:p>
    <w:p w14:paraId="329037F3"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p>
    <w:tbl>
      <w:tblPr>
        <w:tblStyle w:val="StilTablice1"/>
        <w:tblW w:w="9244" w:type="dxa"/>
        <w:jc w:val="center"/>
        <w:tblLook w:val="04A0" w:firstRow="1" w:lastRow="0" w:firstColumn="1" w:lastColumn="0" w:noHBand="0" w:noVBand="1"/>
      </w:tblPr>
      <w:tblGrid>
        <w:gridCol w:w="1351"/>
        <w:gridCol w:w="1633"/>
        <w:gridCol w:w="1633"/>
        <w:gridCol w:w="1633"/>
        <w:gridCol w:w="1487"/>
        <w:gridCol w:w="1507"/>
      </w:tblGrid>
      <w:tr w:rsidR="00E051CA" w:rsidRPr="00E051CA" w14:paraId="135FDC92" w14:textId="77777777" w:rsidTr="001F4070">
        <w:trPr>
          <w:jc w:val="center"/>
        </w:trPr>
        <w:tc>
          <w:tcPr>
            <w:tcW w:w="1351" w:type="dxa"/>
            <w:shd w:val="clear" w:color="auto" w:fill="B5C0D8"/>
          </w:tcPr>
          <w:p w14:paraId="61BF3466"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p>
        </w:tc>
        <w:tc>
          <w:tcPr>
            <w:tcW w:w="1633" w:type="dxa"/>
            <w:shd w:val="clear" w:color="auto" w:fill="B5C0D8"/>
          </w:tcPr>
          <w:p w14:paraId="7F4A260F"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Izvršenje 2022.</w:t>
            </w:r>
          </w:p>
        </w:tc>
        <w:tc>
          <w:tcPr>
            <w:tcW w:w="1633" w:type="dxa"/>
            <w:shd w:val="clear" w:color="auto" w:fill="B5C0D8"/>
          </w:tcPr>
          <w:p w14:paraId="5AA31B10"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Plan 2023.</w:t>
            </w:r>
          </w:p>
        </w:tc>
        <w:tc>
          <w:tcPr>
            <w:tcW w:w="1633" w:type="dxa"/>
            <w:shd w:val="clear" w:color="auto" w:fill="B5C0D8"/>
          </w:tcPr>
          <w:p w14:paraId="3E521A57"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Izvršenje 2023.</w:t>
            </w:r>
          </w:p>
        </w:tc>
        <w:tc>
          <w:tcPr>
            <w:tcW w:w="1487" w:type="dxa"/>
            <w:shd w:val="clear" w:color="auto" w:fill="B5C0D8"/>
          </w:tcPr>
          <w:p w14:paraId="6EC95A2A"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Indeks izvršenje 2023./plan 2023.</w:t>
            </w:r>
          </w:p>
        </w:tc>
        <w:tc>
          <w:tcPr>
            <w:tcW w:w="1507" w:type="dxa"/>
            <w:shd w:val="clear" w:color="auto" w:fill="B5C0D8"/>
          </w:tcPr>
          <w:p w14:paraId="3D94DFF0"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Indeks izvršenje 2023./2022.</w:t>
            </w:r>
          </w:p>
        </w:tc>
      </w:tr>
      <w:tr w:rsidR="00E051CA" w:rsidRPr="00E051CA" w14:paraId="12B5BC38" w14:textId="77777777" w:rsidTr="001F4070">
        <w:trPr>
          <w:jc w:val="center"/>
        </w:trPr>
        <w:tc>
          <w:tcPr>
            <w:tcW w:w="1351" w:type="dxa"/>
          </w:tcPr>
          <w:p w14:paraId="5F9D9378"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38069</w:t>
            </w:r>
          </w:p>
        </w:tc>
        <w:tc>
          <w:tcPr>
            <w:tcW w:w="1633" w:type="dxa"/>
          </w:tcPr>
          <w:p w14:paraId="3B2F58E8" w14:textId="77777777" w:rsidR="00E051CA" w:rsidRPr="00E051CA" w:rsidRDefault="00E051CA" w:rsidP="00E051CA">
            <w:pPr>
              <w:overflowPunct w:val="0"/>
              <w:autoSpaceDE w:val="0"/>
              <w:autoSpaceDN w:val="0"/>
              <w:adjustRightInd w:val="0"/>
              <w:jc w:val="righ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471.044.444,39</w:t>
            </w:r>
          </w:p>
        </w:tc>
        <w:tc>
          <w:tcPr>
            <w:tcW w:w="1633" w:type="dxa"/>
            <w:shd w:val="clear" w:color="auto" w:fill="auto"/>
          </w:tcPr>
          <w:p w14:paraId="22728EDB" w14:textId="77777777" w:rsidR="00E051CA" w:rsidRPr="00E051CA" w:rsidRDefault="00E051CA" w:rsidP="00E051CA">
            <w:pPr>
              <w:overflowPunct w:val="0"/>
              <w:autoSpaceDE w:val="0"/>
              <w:autoSpaceDN w:val="0"/>
              <w:adjustRightInd w:val="0"/>
              <w:jc w:val="righ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526.491.328</w:t>
            </w:r>
          </w:p>
        </w:tc>
        <w:tc>
          <w:tcPr>
            <w:tcW w:w="1633" w:type="dxa"/>
            <w:shd w:val="clear" w:color="auto" w:fill="auto"/>
          </w:tcPr>
          <w:p w14:paraId="1FDF217B" w14:textId="77777777" w:rsidR="00E051CA" w:rsidRPr="00E051CA" w:rsidRDefault="00E051CA" w:rsidP="00E051CA">
            <w:pPr>
              <w:overflowPunct w:val="0"/>
              <w:autoSpaceDE w:val="0"/>
              <w:autoSpaceDN w:val="0"/>
              <w:adjustRightInd w:val="0"/>
              <w:jc w:val="righ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564.628.899,47</w:t>
            </w:r>
          </w:p>
        </w:tc>
        <w:tc>
          <w:tcPr>
            <w:tcW w:w="1487" w:type="dxa"/>
            <w:shd w:val="clear" w:color="auto" w:fill="auto"/>
          </w:tcPr>
          <w:p w14:paraId="4E142ED2" w14:textId="77777777" w:rsidR="00E051CA" w:rsidRPr="00E051CA" w:rsidRDefault="00E051CA" w:rsidP="00E051CA">
            <w:pPr>
              <w:overflowPunct w:val="0"/>
              <w:autoSpaceDE w:val="0"/>
              <w:autoSpaceDN w:val="0"/>
              <w:adjustRightInd w:val="0"/>
              <w:jc w:val="righ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107,2</w:t>
            </w:r>
          </w:p>
        </w:tc>
        <w:tc>
          <w:tcPr>
            <w:tcW w:w="1507" w:type="dxa"/>
            <w:shd w:val="clear" w:color="auto" w:fill="auto"/>
          </w:tcPr>
          <w:p w14:paraId="7754FE89" w14:textId="77777777" w:rsidR="00E051CA" w:rsidRPr="00E051CA" w:rsidRDefault="00E051CA" w:rsidP="00E051CA">
            <w:pPr>
              <w:overflowPunct w:val="0"/>
              <w:autoSpaceDE w:val="0"/>
              <w:autoSpaceDN w:val="0"/>
              <w:adjustRightInd w:val="0"/>
              <w:jc w:val="righ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119,9</w:t>
            </w:r>
          </w:p>
        </w:tc>
      </w:tr>
    </w:tbl>
    <w:p w14:paraId="610259ED" w14:textId="77777777" w:rsidR="00E051CA" w:rsidRPr="00E051CA" w:rsidRDefault="00E051CA" w:rsidP="00E051CA">
      <w:pPr>
        <w:overflowPunct w:val="0"/>
        <w:autoSpaceDE w:val="0"/>
        <w:autoSpaceDN w:val="0"/>
        <w:adjustRightInd w:val="0"/>
        <w:spacing w:after="120" w:line="240" w:lineRule="auto"/>
        <w:textAlignment w:val="baseline"/>
        <w:rPr>
          <w:rFonts w:ascii="Times New Roman" w:eastAsia="Times New Roman" w:hAnsi="Times New Roman" w:cs="Times New Roman"/>
          <w:noProof/>
          <w:sz w:val="24"/>
          <w:szCs w:val="24"/>
        </w:rPr>
      </w:pPr>
    </w:p>
    <w:p w14:paraId="3240D208" w14:textId="77777777" w:rsidR="00E051CA" w:rsidRPr="00E051CA" w:rsidRDefault="00E051CA" w:rsidP="00E051CA">
      <w:pPr>
        <w:overflowPunct w:val="0"/>
        <w:autoSpaceDE w:val="0"/>
        <w:autoSpaceDN w:val="0"/>
        <w:adjustRightInd w:val="0"/>
        <w:spacing w:after="120" w:line="240" w:lineRule="auto"/>
        <w:textAlignment w:val="baseline"/>
        <w:rPr>
          <w:rFonts w:ascii="Times New Roman" w:eastAsia="Times New Roman" w:hAnsi="Times New Roman" w:cs="Times New Roman"/>
          <w:noProof/>
          <w:sz w:val="24"/>
          <w:szCs w:val="24"/>
        </w:rPr>
      </w:pPr>
    </w:p>
    <w:p w14:paraId="7BC65D30" w14:textId="77777777" w:rsidR="00E051CA" w:rsidRPr="00E051CA" w:rsidRDefault="00E051CA" w:rsidP="00E051CA">
      <w:pPr>
        <w:keepNext/>
        <w:keepLines/>
        <w:pBdr>
          <w:top w:val="single" w:sz="4" w:space="1" w:color="auto"/>
          <w:bottom w:val="single" w:sz="4" w:space="1" w:color="auto"/>
        </w:pBdr>
        <w:shd w:val="clear" w:color="auto" w:fill="E6E6E6"/>
        <w:spacing w:after="120" w:line="288" w:lineRule="auto"/>
        <w:outlineLvl w:val="2"/>
        <w:rPr>
          <w:rFonts w:ascii="Times New Roman" w:eastAsia="Times New Roman" w:hAnsi="Times New Roman" w:cs="Times New Roman"/>
          <w:b/>
          <w:iCs/>
          <w:noProof/>
          <w:spacing w:val="20"/>
          <w:sz w:val="24"/>
          <w:szCs w:val="24"/>
        </w:rPr>
      </w:pPr>
      <w:r w:rsidRPr="00E051CA">
        <w:rPr>
          <w:rFonts w:ascii="Times New Roman" w:eastAsia="Times New Roman" w:hAnsi="Times New Roman" w:cs="Times New Roman"/>
          <w:b/>
          <w:iCs/>
          <w:noProof/>
          <w:spacing w:val="20"/>
          <w:sz w:val="24"/>
          <w:szCs w:val="24"/>
        </w:rPr>
        <w:t>3602 INVESTICIJE U ZDRAVSTVENU INFRASTRUKTURU</w:t>
      </w:r>
    </w:p>
    <w:tbl>
      <w:tblPr>
        <w:tblStyle w:val="StilTablice1"/>
        <w:tblW w:w="9244" w:type="dxa"/>
        <w:jc w:val="center"/>
        <w:tblLook w:val="04A0" w:firstRow="1" w:lastRow="0" w:firstColumn="1" w:lastColumn="0" w:noHBand="0" w:noVBand="1"/>
      </w:tblPr>
      <w:tblGrid>
        <w:gridCol w:w="1915"/>
        <w:gridCol w:w="1506"/>
        <w:gridCol w:w="1507"/>
        <w:gridCol w:w="1507"/>
        <w:gridCol w:w="1383"/>
        <w:gridCol w:w="1426"/>
      </w:tblGrid>
      <w:tr w:rsidR="00E051CA" w:rsidRPr="00E051CA" w14:paraId="6A56F3DD" w14:textId="77777777" w:rsidTr="001F4070">
        <w:trPr>
          <w:jc w:val="center"/>
        </w:trPr>
        <w:tc>
          <w:tcPr>
            <w:tcW w:w="1915" w:type="dxa"/>
            <w:shd w:val="clear" w:color="auto" w:fill="B5C0D8"/>
          </w:tcPr>
          <w:p w14:paraId="03F1E3F1"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p>
        </w:tc>
        <w:tc>
          <w:tcPr>
            <w:tcW w:w="1506" w:type="dxa"/>
            <w:shd w:val="clear" w:color="auto" w:fill="B5C0D8"/>
          </w:tcPr>
          <w:p w14:paraId="71C23E6F"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Izvršenje 2022.</w:t>
            </w:r>
          </w:p>
        </w:tc>
        <w:tc>
          <w:tcPr>
            <w:tcW w:w="1507" w:type="dxa"/>
            <w:shd w:val="clear" w:color="auto" w:fill="B5C0D8"/>
          </w:tcPr>
          <w:p w14:paraId="43E216C5"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Plan 2023.</w:t>
            </w:r>
          </w:p>
        </w:tc>
        <w:tc>
          <w:tcPr>
            <w:tcW w:w="1507" w:type="dxa"/>
            <w:shd w:val="clear" w:color="auto" w:fill="B5C0D8"/>
          </w:tcPr>
          <w:p w14:paraId="53905384"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Izvršenje 2023.</w:t>
            </w:r>
          </w:p>
        </w:tc>
        <w:tc>
          <w:tcPr>
            <w:tcW w:w="1383" w:type="dxa"/>
            <w:shd w:val="clear" w:color="auto" w:fill="B5C0D8"/>
          </w:tcPr>
          <w:p w14:paraId="62E0C186"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Indeks izvršenje 2023./plan 2023.</w:t>
            </w:r>
          </w:p>
        </w:tc>
        <w:tc>
          <w:tcPr>
            <w:tcW w:w="1426" w:type="dxa"/>
            <w:shd w:val="clear" w:color="auto" w:fill="B5C0D8"/>
          </w:tcPr>
          <w:p w14:paraId="636D11F6"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Indeks izvršenje 2023./2022.</w:t>
            </w:r>
          </w:p>
        </w:tc>
      </w:tr>
      <w:tr w:rsidR="00E051CA" w:rsidRPr="00E051CA" w14:paraId="42C96DAF" w14:textId="77777777" w:rsidTr="001F4070">
        <w:trPr>
          <w:jc w:val="center"/>
        </w:trPr>
        <w:tc>
          <w:tcPr>
            <w:tcW w:w="1915" w:type="dxa"/>
          </w:tcPr>
          <w:p w14:paraId="24D65BE6" w14:textId="77777777" w:rsidR="00E051CA" w:rsidRPr="00E051CA" w:rsidRDefault="00E051CA" w:rsidP="00E051CA">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bCs/>
                <w:noProof/>
                <w:szCs w:val="24"/>
                <w:lang w:eastAsia="hr-HR"/>
              </w:rPr>
              <w:t>3602-INVESTICIJE U ZDRAVSTVENU INFRASTRUKTURU</w:t>
            </w:r>
          </w:p>
        </w:tc>
        <w:tc>
          <w:tcPr>
            <w:tcW w:w="1506" w:type="dxa"/>
          </w:tcPr>
          <w:p w14:paraId="4E904EA3" w14:textId="77777777" w:rsidR="00E051CA" w:rsidRPr="00E051CA" w:rsidRDefault="00E051CA" w:rsidP="00E051CA">
            <w:pPr>
              <w:overflowPunct w:val="0"/>
              <w:autoSpaceDE w:val="0"/>
              <w:autoSpaceDN w:val="0"/>
              <w:adjustRightInd w:val="0"/>
              <w:jc w:val="righ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9.463.726</w:t>
            </w:r>
          </w:p>
        </w:tc>
        <w:tc>
          <w:tcPr>
            <w:tcW w:w="1507" w:type="dxa"/>
          </w:tcPr>
          <w:p w14:paraId="11259304" w14:textId="77777777" w:rsidR="00E051CA" w:rsidRPr="00E051CA" w:rsidRDefault="00E051CA" w:rsidP="00E051CA">
            <w:pPr>
              <w:overflowPunct w:val="0"/>
              <w:autoSpaceDE w:val="0"/>
              <w:autoSpaceDN w:val="0"/>
              <w:adjustRightInd w:val="0"/>
              <w:jc w:val="righ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65.187.821</w:t>
            </w:r>
          </w:p>
        </w:tc>
        <w:tc>
          <w:tcPr>
            <w:tcW w:w="1507" w:type="dxa"/>
          </w:tcPr>
          <w:p w14:paraId="6985C516" w14:textId="77777777" w:rsidR="00E051CA" w:rsidRPr="00E051CA" w:rsidRDefault="00E051CA" w:rsidP="00E051CA">
            <w:pPr>
              <w:overflowPunct w:val="0"/>
              <w:autoSpaceDE w:val="0"/>
              <w:autoSpaceDN w:val="0"/>
              <w:adjustRightInd w:val="0"/>
              <w:jc w:val="righ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48.029.250</w:t>
            </w:r>
          </w:p>
        </w:tc>
        <w:tc>
          <w:tcPr>
            <w:tcW w:w="1383" w:type="dxa"/>
          </w:tcPr>
          <w:p w14:paraId="4BE6C584" w14:textId="77777777" w:rsidR="00E051CA" w:rsidRPr="00E051CA" w:rsidRDefault="00E051CA" w:rsidP="00E051CA">
            <w:pPr>
              <w:overflowPunct w:val="0"/>
              <w:autoSpaceDE w:val="0"/>
              <w:autoSpaceDN w:val="0"/>
              <w:adjustRightInd w:val="0"/>
              <w:jc w:val="righ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73,7</w:t>
            </w:r>
          </w:p>
        </w:tc>
        <w:tc>
          <w:tcPr>
            <w:tcW w:w="1426" w:type="dxa"/>
          </w:tcPr>
          <w:p w14:paraId="6F3441B3" w14:textId="77777777" w:rsidR="00E051CA" w:rsidRPr="00E051CA" w:rsidRDefault="00E051CA" w:rsidP="00E051CA">
            <w:pPr>
              <w:overflowPunct w:val="0"/>
              <w:autoSpaceDE w:val="0"/>
              <w:autoSpaceDN w:val="0"/>
              <w:adjustRightInd w:val="0"/>
              <w:jc w:val="righ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507,5</w:t>
            </w:r>
          </w:p>
        </w:tc>
      </w:tr>
    </w:tbl>
    <w:p w14:paraId="3B8709C9" w14:textId="77777777" w:rsidR="00E051CA" w:rsidRPr="00E051CA" w:rsidRDefault="00E051CA" w:rsidP="00E051C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lastRenderedPageBreak/>
        <w:t>Cilj 1. Zaštita, očuvanje i unapređenje zdravlja</w:t>
      </w:r>
    </w:p>
    <w:p w14:paraId="468F47C0" w14:textId="77777777" w:rsidR="00E051CA" w:rsidRPr="00E051CA" w:rsidRDefault="00E051CA" w:rsidP="00E051CA">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noProof/>
          <w:sz w:val="24"/>
          <w:szCs w:val="24"/>
        </w:rPr>
      </w:pPr>
      <w:r w:rsidRPr="00E051CA">
        <w:rPr>
          <w:rFonts w:ascii="Times New Roman" w:eastAsia="Times New Roman" w:hAnsi="Times New Roman" w:cs="Times New Roman"/>
          <w:b/>
          <w:bCs/>
          <w:noProof/>
          <w:sz w:val="24"/>
          <w:szCs w:val="24"/>
        </w:rPr>
        <w:t>K891002 KLINIČKI BOLNIČKI CENTAR ZAGREB – IZRAVNA KAPITALNA ULAGANJA</w:t>
      </w:r>
    </w:p>
    <w:p w14:paraId="01C06187" w14:textId="77777777" w:rsidR="00E051CA" w:rsidRPr="00E051CA" w:rsidRDefault="00E051CA" w:rsidP="00E051C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t>Zakonske i druge pravne osnove</w:t>
      </w:r>
    </w:p>
    <w:p w14:paraId="4C6A242D" w14:textId="77777777" w:rsidR="00E051CA" w:rsidRPr="00E051CA" w:rsidRDefault="00E051CA" w:rsidP="00E051CA">
      <w:pPr>
        <w:spacing w:after="0" w:line="240" w:lineRule="auto"/>
        <w:jc w:val="both"/>
        <w:rPr>
          <w:rFonts w:ascii="Times New Roman" w:eastAsia="Calibri" w:hAnsi="Times New Roman" w:cs="Times New Roman"/>
          <w:sz w:val="24"/>
          <w:szCs w:val="24"/>
          <w:lang w:eastAsia="hr-HR"/>
        </w:rPr>
      </w:pPr>
      <w:r w:rsidRPr="00E051CA">
        <w:rPr>
          <w:rFonts w:ascii="Times New Roman" w:eastAsia="Calibri" w:hAnsi="Times New Roman" w:cs="Times New Roman"/>
          <w:sz w:val="24"/>
          <w:szCs w:val="24"/>
          <w:lang w:eastAsia="hr-HR"/>
        </w:rPr>
        <w:t>Zakon o zdravstvenoj zaštiti, Nacionalna strategija razvoja zdravstva 2021.-2027. godine, Zakon o obveznom zdravstvenom osiguranju, Nacionalni plan oporavka i otpornosti 2021.-2026.</w:t>
      </w:r>
    </w:p>
    <w:p w14:paraId="1EFAABAB" w14:textId="77777777" w:rsidR="00E051CA" w:rsidRPr="00E051CA" w:rsidRDefault="00E051CA" w:rsidP="00E051CA">
      <w:pPr>
        <w:spacing w:after="0" w:line="240" w:lineRule="auto"/>
        <w:jc w:val="both"/>
        <w:rPr>
          <w:rFonts w:ascii="Times New Roman" w:eastAsia="Calibri" w:hAnsi="Times New Roman" w:cs="Times New Roman"/>
          <w:sz w:val="24"/>
          <w:szCs w:val="24"/>
          <w:lang w:eastAsia="hr-HR"/>
        </w:rPr>
      </w:pPr>
    </w:p>
    <w:tbl>
      <w:tblPr>
        <w:tblStyle w:val="StilTablice1"/>
        <w:tblW w:w="9191" w:type="dxa"/>
        <w:jc w:val="center"/>
        <w:tblLook w:val="04A0" w:firstRow="1" w:lastRow="0" w:firstColumn="1" w:lastColumn="0" w:noHBand="0" w:noVBand="1"/>
      </w:tblPr>
      <w:tblGrid>
        <w:gridCol w:w="1501"/>
        <w:gridCol w:w="1701"/>
        <w:gridCol w:w="1417"/>
        <w:gridCol w:w="1560"/>
        <w:gridCol w:w="1479"/>
        <w:gridCol w:w="1533"/>
      </w:tblGrid>
      <w:tr w:rsidR="00E051CA" w:rsidRPr="00E051CA" w14:paraId="1417D24E" w14:textId="77777777" w:rsidTr="001F4070">
        <w:trPr>
          <w:jc w:val="center"/>
        </w:trPr>
        <w:tc>
          <w:tcPr>
            <w:tcW w:w="1501" w:type="dxa"/>
            <w:shd w:val="clear" w:color="auto" w:fill="B5C0D8"/>
          </w:tcPr>
          <w:p w14:paraId="11987705"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Naziv aktivnosti</w:t>
            </w:r>
          </w:p>
        </w:tc>
        <w:tc>
          <w:tcPr>
            <w:tcW w:w="1701" w:type="dxa"/>
            <w:shd w:val="clear" w:color="auto" w:fill="B5C0D8"/>
          </w:tcPr>
          <w:p w14:paraId="211AC1A0"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Izvršenje 2022.</w:t>
            </w:r>
          </w:p>
        </w:tc>
        <w:tc>
          <w:tcPr>
            <w:tcW w:w="1417" w:type="dxa"/>
            <w:shd w:val="clear" w:color="auto" w:fill="B5C0D8"/>
          </w:tcPr>
          <w:p w14:paraId="1A82E38E"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Plan 2023.</w:t>
            </w:r>
          </w:p>
        </w:tc>
        <w:tc>
          <w:tcPr>
            <w:tcW w:w="1560" w:type="dxa"/>
            <w:shd w:val="clear" w:color="auto" w:fill="B5C0D8"/>
          </w:tcPr>
          <w:p w14:paraId="2A607C8E"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Izvršenje 2023.</w:t>
            </w:r>
          </w:p>
        </w:tc>
        <w:tc>
          <w:tcPr>
            <w:tcW w:w="1479" w:type="dxa"/>
            <w:shd w:val="clear" w:color="auto" w:fill="B5C0D8"/>
          </w:tcPr>
          <w:p w14:paraId="52970F61"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Indeks izvršenje 2023./plan 2023.</w:t>
            </w:r>
          </w:p>
        </w:tc>
        <w:tc>
          <w:tcPr>
            <w:tcW w:w="1533" w:type="dxa"/>
            <w:shd w:val="clear" w:color="auto" w:fill="B5C0D8"/>
          </w:tcPr>
          <w:p w14:paraId="0835D422"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Indeks izvršenje 2023./2022.</w:t>
            </w:r>
          </w:p>
        </w:tc>
      </w:tr>
      <w:tr w:rsidR="00E051CA" w:rsidRPr="00E051CA" w14:paraId="4DDA72C7" w14:textId="77777777" w:rsidTr="001F4070">
        <w:trPr>
          <w:jc w:val="center"/>
        </w:trPr>
        <w:tc>
          <w:tcPr>
            <w:tcW w:w="1501" w:type="dxa"/>
            <w:vAlign w:val="top"/>
          </w:tcPr>
          <w:p w14:paraId="70EBA56B" w14:textId="77777777" w:rsidR="00E051CA" w:rsidRPr="00E051CA" w:rsidRDefault="00E051CA" w:rsidP="00E051CA">
            <w:pPr>
              <w:overflowPunct w:val="0"/>
              <w:autoSpaceDE w:val="0"/>
              <w:autoSpaceDN w:val="0"/>
              <w:adjustRightInd w:val="0"/>
              <w:jc w:val="left"/>
              <w:textAlignment w:val="baseline"/>
              <w:rPr>
                <w:rFonts w:eastAsia="Times New Roman" w:cs="Times New Roman"/>
                <w:bCs/>
                <w:noProof/>
                <w:szCs w:val="24"/>
                <w:lang w:eastAsia="hr-HR"/>
              </w:rPr>
            </w:pPr>
            <w:r w:rsidRPr="00E051CA">
              <w:rPr>
                <w:rFonts w:eastAsia="Times New Roman" w:cs="Times New Roman"/>
                <w:bCs/>
                <w:noProof/>
                <w:szCs w:val="24"/>
                <w:lang w:eastAsia="hr-HR"/>
              </w:rPr>
              <w:t>K891002-KLINIČKI BOLNIČKI CENTAR ZAGREB-IZRAVNA KAPITALNA ULAGANJA</w:t>
            </w:r>
          </w:p>
        </w:tc>
        <w:tc>
          <w:tcPr>
            <w:tcW w:w="1701" w:type="dxa"/>
            <w:vAlign w:val="top"/>
          </w:tcPr>
          <w:p w14:paraId="1B35E4B9"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9.039.489,6</w:t>
            </w:r>
          </w:p>
        </w:tc>
        <w:tc>
          <w:tcPr>
            <w:tcW w:w="1417" w:type="dxa"/>
            <w:vAlign w:val="top"/>
          </w:tcPr>
          <w:p w14:paraId="7D944194"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15.755.354</w:t>
            </w:r>
          </w:p>
        </w:tc>
        <w:tc>
          <w:tcPr>
            <w:tcW w:w="1560" w:type="dxa"/>
            <w:vAlign w:val="top"/>
          </w:tcPr>
          <w:p w14:paraId="3BA4C9B2"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12.945.108,31</w:t>
            </w:r>
          </w:p>
        </w:tc>
        <w:tc>
          <w:tcPr>
            <w:tcW w:w="1479" w:type="dxa"/>
            <w:vAlign w:val="top"/>
          </w:tcPr>
          <w:p w14:paraId="3BDA801D"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82,2</w:t>
            </w:r>
          </w:p>
        </w:tc>
        <w:tc>
          <w:tcPr>
            <w:tcW w:w="1533" w:type="dxa"/>
            <w:vAlign w:val="top"/>
          </w:tcPr>
          <w:p w14:paraId="4871B931"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143,2</w:t>
            </w:r>
          </w:p>
        </w:tc>
      </w:tr>
    </w:tbl>
    <w:p w14:paraId="50721E4C" w14:textId="77777777" w:rsidR="00E051CA" w:rsidRPr="00E051CA" w:rsidRDefault="00E051CA" w:rsidP="00E051CA">
      <w:pPr>
        <w:overflowPunct w:val="0"/>
        <w:autoSpaceDE w:val="0"/>
        <w:autoSpaceDN w:val="0"/>
        <w:adjustRightInd w:val="0"/>
        <w:spacing w:after="120" w:line="240" w:lineRule="auto"/>
        <w:textAlignment w:val="baseline"/>
        <w:rPr>
          <w:rFonts w:ascii="Times New Roman" w:eastAsia="Times New Roman" w:hAnsi="Times New Roman" w:cs="Times New Roman"/>
          <w:noProof/>
          <w:sz w:val="24"/>
          <w:szCs w:val="24"/>
        </w:rPr>
      </w:pPr>
    </w:p>
    <w:p w14:paraId="450139ED"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t>Opis aktivnosti</w:t>
      </w:r>
    </w:p>
    <w:p w14:paraId="5B181DA6"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highlight w:val="yellow"/>
        </w:rPr>
      </w:pPr>
      <w:r w:rsidRPr="00E051CA">
        <w:rPr>
          <w:rFonts w:ascii="Times New Roman" w:eastAsia="Times New Roman" w:hAnsi="Times New Roman" w:cs="Times New Roman"/>
          <w:noProof/>
          <w:sz w:val="24"/>
          <w:szCs w:val="24"/>
        </w:rPr>
        <w:t>U 2023. godini na kapitalnom projektu K891002 – Izravna kapitalna ulaganja izvršeno je 5.375.741 eura rashoda iz općih prihoda i primitaka (izvor 11) koji se odnose na kapitalne rashode za ulaganja u medicinsku i laboratorijsku opremu. Iz vlastitih prihoda (izvor 31) izvršeno je 6.998.113 eura od kojih se 3.786.302 eura odnosi na rashode za ulaganja u medicinsku i laboratorijsku opremu, 1.185.454 eura za ulaganje u računalne programe, 954.582 eura za kapitalne rashode za ulaganja u građevinske objekte, 377.999 eura za komunikacijsku opremu, 325.765 eura na kapitalne rashode za uredsku opremu i namještaj te 368.011 eura na rashode za opremu za održavanje i zaštitu, uređaje, strojeve i ostalu opremu. Iz ostalih pomoći (izvor 52) izvršeno je 8.627 eura koje se odnose na kapitalna ulaganja u medicinsku i laboratorijsku opremu. Iz donacija (izvor 61) izvršeno je 536.778 eura od kojih se 323.051 eura odnosi na kapitalne rahode za dodatna ulaganja na građevinskim objektima te 213.727 eura na rashode za ulaganja u medicinsku i laboratorijsku opremu. Iz prihoda od nefinancijske imovine utrošeno je 25.849 eura za ulaganje u medicinsku opremu i laboratorijsku opremu.</w:t>
      </w:r>
    </w:p>
    <w:p w14:paraId="4736605E"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Sredstva za nabavu medicinske i laboratorijske opreme utrošena su za nabavu: CT uređaja za Polikliniku Kliničkog zavoda za dijagnostičku i intervencijsku radiologiju, uređaja MR za potrebe neuroradiologije, operacijskog mikroskopa za neurokirurgiju, endoskopskih stupovova za potrebe Klinike za kirurgiju, nadogradnju linearnog akceleratora, operacijskih lampi, endoskopskog stupa za potrebe Klinike za urologiju, digitalnog skenera za potrebe Kliničkog zavoda za patologiju i citologiju, respiratora neonatalnog s funkcijom visokofrekventne ventilacije, elektrokirurške platforme, inkubatora visoke razine, UZV uređaja za potrebe KAI, UZV uređaja za potrebe pedijatrijske kardiologije, UZV uređaja visoko frekventnog transrektalnog s opcijom programske fuzijske biopsije prostate te kirurških instrumenata.</w:t>
      </w:r>
    </w:p>
    <w:p w14:paraId="0C1BC1AE"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Sredstva za kapitalna ulaganja u računalne programe utrošena su za nabavu instalacija IBIS sustava na novih 25 Terminala poslužitelja.</w:t>
      </w:r>
    </w:p>
    <w:p w14:paraId="1FE1E749"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lastRenderedPageBreak/>
        <w:t>Sredstva za kapitalna ulaganja u uredsku opremu i namještaj utrošena su za nabavu nemedicinskog namještaja i opreme za potrebe Kliničkog zavoda za rehabilitaciju i ortopedska pomagala, namještaja za potrebe Zavoda za intenzivnu neurologiju i cerebrovaskularne bolesti te nabavu i implementaciju virtualizacijske infrastrukture.</w:t>
      </w:r>
    </w:p>
    <w:p w14:paraId="3872A267"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Sredstva za dodatna ulaganja na građevinskim objektima i za poslovne objekte utrošena su za izvođenje radova na uređenju prostora za smještaj MR 3T, adaptaciju dijela prizemlja Objedinjenog hitnog bolničkog prijema za smještaj CT-a te za uređenje dijela prostora zgrade Laboratorija na lokaciji Petrova 13.</w:t>
      </w:r>
    </w:p>
    <w:p w14:paraId="20CD1CD1" w14:textId="77777777" w:rsidR="00E051CA" w:rsidRPr="00E051CA" w:rsidRDefault="00E051CA" w:rsidP="00E051C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t>Pokazatelji rezultata</w:t>
      </w:r>
    </w:p>
    <w:tbl>
      <w:tblPr>
        <w:tblStyle w:val="StilTablice1"/>
        <w:tblW w:w="9185" w:type="dxa"/>
        <w:jc w:val="center"/>
        <w:tblLook w:val="04A0" w:firstRow="1" w:lastRow="0" w:firstColumn="1" w:lastColumn="0" w:noHBand="0" w:noVBand="1"/>
      </w:tblPr>
      <w:tblGrid>
        <w:gridCol w:w="1512"/>
        <w:gridCol w:w="1732"/>
        <w:gridCol w:w="860"/>
        <w:gridCol w:w="1406"/>
        <w:gridCol w:w="912"/>
        <w:gridCol w:w="1309"/>
        <w:gridCol w:w="1454"/>
      </w:tblGrid>
      <w:tr w:rsidR="00E051CA" w:rsidRPr="00E051CA" w14:paraId="6C371B1D" w14:textId="77777777" w:rsidTr="001F4070">
        <w:trPr>
          <w:jc w:val="center"/>
        </w:trPr>
        <w:tc>
          <w:tcPr>
            <w:tcW w:w="1512" w:type="dxa"/>
            <w:shd w:val="clear" w:color="auto" w:fill="B5C0D8"/>
          </w:tcPr>
          <w:p w14:paraId="77D737C4"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Pokazatelj rezultata</w:t>
            </w:r>
          </w:p>
        </w:tc>
        <w:tc>
          <w:tcPr>
            <w:tcW w:w="1732" w:type="dxa"/>
            <w:shd w:val="clear" w:color="auto" w:fill="B5C0D8"/>
          </w:tcPr>
          <w:p w14:paraId="1683631A"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Definicija</w:t>
            </w:r>
          </w:p>
        </w:tc>
        <w:tc>
          <w:tcPr>
            <w:tcW w:w="860" w:type="dxa"/>
            <w:shd w:val="clear" w:color="auto" w:fill="B5C0D8"/>
          </w:tcPr>
          <w:p w14:paraId="497D8A87"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Jedinica</w:t>
            </w:r>
          </w:p>
        </w:tc>
        <w:tc>
          <w:tcPr>
            <w:tcW w:w="1406" w:type="dxa"/>
            <w:shd w:val="clear" w:color="auto" w:fill="B5C0D8"/>
          </w:tcPr>
          <w:p w14:paraId="70382BB7"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Polazna vrijednost</w:t>
            </w:r>
          </w:p>
        </w:tc>
        <w:tc>
          <w:tcPr>
            <w:tcW w:w="912" w:type="dxa"/>
            <w:shd w:val="clear" w:color="auto" w:fill="B5C0D8"/>
          </w:tcPr>
          <w:p w14:paraId="35F2010B"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Izvor podataka</w:t>
            </w:r>
          </w:p>
        </w:tc>
        <w:tc>
          <w:tcPr>
            <w:tcW w:w="1309" w:type="dxa"/>
            <w:shd w:val="clear" w:color="auto" w:fill="B5C0D8"/>
          </w:tcPr>
          <w:p w14:paraId="201EDCB0"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Ciljana vrijednost (2023.)</w:t>
            </w:r>
          </w:p>
        </w:tc>
        <w:tc>
          <w:tcPr>
            <w:tcW w:w="1454" w:type="dxa"/>
            <w:shd w:val="clear" w:color="auto" w:fill="B5C0D8"/>
          </w:tcPr>
          <w:p w14:paraId="5B050FAC"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Ostvarena vrijednost (2023.)</w:t>
            </w:r>
          </w:p>
        </w:tc>
      </w:tr>
      <w:tr w:rsidR="00E051CA" w:rsidRPr="00E051CA" w14:paraId="15BDCEE9" w14:textId="77777777" w:rsidTr="001F4070">
        <w:trPr>
          <w:jc w:val="center"/>
        </w:trPr>
        <w:tc>
          <w:tcPr>
            <w:tcW w:w="1512" w:type="dxa"/>
            <w:vAlign w:val="top"/>
          </w:tcPr>
          <w:p w14:paraId="19181B61" w14:textId="77777777" w:rsidR="00E051CA" w:rsidRPr="00E051CA" w:rsidRDefault="00E051CA" w:rsidP="00E051CA">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Udio isplaćenih sredstava za ulaganje u opremu u ukupnim planiranim sredstvima</w:t>
            </w:r>
          </w:p>
        </w:tc>
        <w:tc>
          <w:tcPr>
            <w:tcW w:w="1732" w:type="dxa"/>
            <w:vAlign w:val="top"/>
          </w:tcPr>
          <w:p w14:paraId="4CDF04D2" w14:textId="77777777" w:rsidR="00E051CA" w:rsidRPr="00E051CA" w:rsidRDefault="00E051CA" w:rsidP="00E051CA">
            <w:pPr>
              <w:spacing w:after="0"/>
              <w:jc w:val="left"/>
              <w:rPr>
                <w:rFonts w:eastAsia="Times New Roman" w:cs="Times New Roman"/>
                <w:sz w:val="22"/>
                <w:szCs w:val="24"/>
              </w:rPr>
            </w:pPr>
            <w:r w:rsidRPr="00E051CA">
              <w:rPr>
                <w:rFonts w:eastAsia="Times New Roman" w:cs="Times New Roman"/>
                <w:noProof/>
                <w:sz w:val="22"/>
                <w:szCs w:val="24"/>
              </w:rPr>
              <w:t>Podizanjem razine kvalitete medicinske opreme osigurati očuvanje zdravlja stanovništva</w:t>
            </w:r>
          </w:p>
        </w:tc>
        <w:tc>
          <w:tcPr>
            <w:tcW w:w="860" w:type="dxa"/>
          </w:tcPr>
          <w:p w14:paraId="22C8C90D"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postotak</w:t>
            </w:r>
          </w:p>
        </w:tc>
        <w:tc>
          <w:tcPr>
            <w:tcW w:w="1406" w:type="dxa"/>
          </w:tcPr>
          <w:p w14:paraId="0BD5CC9F"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83</w:t>
            </w:r>
          </w:p>
        </w:tc>
        <w:tc>
          <w:tcPr>
            <w:tcW w:w="912" w:type="dxa"/>
          </w:tcPr>
          <w:p w14:paraId="24179B86"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KBC Zagreb</w:t>
            </w:r>
          </w:p>
        </w:tc>
        <w:tc>
          <w:tcPr>
            <w:tcW w:w="1309" w:type="dxa"/>
          </w:tcPr>
          <w:p w14:paraId="38B61A27"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80</w:t>
            </w:r>
          </w:p>
        </w:tc>
        <w:tc>
          <w:tcPr>
            <w:tcW w:w="1454" w:type="dxa"/>
          </w:tcPr>
          <w:p w14:paraId="3D162608"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90</w:t>
            </w:r>
          </w:p>
        </w:tc>
      </w:tr>
      <w:tr w:rsidR="00E051CA" w:rsidRPr="00E051CA" w14:paraId="7C555939" w14:textId="77777777" w:rsidTr="001F4070">
        <w:trPr>
          <w:jc w:val="center"/>
        </w:trPr>
        <w:tc>
          <w:tcPr>
            <w:tcW w:w="1512" w:type="dxa"/>
            <w:vAlign w:val="top"/>
          </w:tcPr>
          <w:p w14:paraId="2DB7777E" w14:textId="77777777" w:rsidR="00E051CA" w:rsidRPr="00E051CA" w:rsidRDefault="00E051CA" w:rsidP="00E051CA">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Udio isplaćenih sredstava za ulaganje u građevinske objekte u ukupnim planiranim sredstvima</w:t>
            </w:r>
          </w:p>
        </w:tc>
        <w:tc>
          <w:tcPr>
            <w:tcW w:w="1732" w:type="dxa"/>
            <w:vAlign w:val="top"/>
          </w:tcPr>
          <w:p w14:paraId="726FF51C" w14:textId="77777777" w:rsidR="00E051CA" w:rsidRPr="00E051CA" w:rsidRDefault="00E051CA" w:rsidP="00E051CA">
            <w:pPr>
              <w:spacing w:after="0"/>
              <w:jc w:val="left"/>
              <w:rPr>
                <w:rFonts w:eastAsia="Times New Roman" w:cs="Times New Roman"/>
                <w:noProof/>
                <w:sz w:val="22"/>
                <w:szCs w:val="24"/>
              </w:rPr>
            </w:pPr>
            <w:r w:rsidRPr="00E051CA">
              <w:rPr>
                <w:rFonts w:eastAsia="Times New Roman" w:cs="Times New Roman"/>
                <w:bCs/>
                <w:noProof/>
                <w:sz w:val="22"/>
                <w:szCs w:val="24"/>
                <w:lang w:eastAsia="hr-HR"/>
              </w:rPr>
              <w:t>Sredstva su namijenjena za uređenje postojećih prostora te za hitne intervencije na građevinskim objektima</w:t>
            </w:r>
          </w:p>
        </w:tc>
        <w:tc>
          <w:tcPr>
            <w:tcW w:w="860" w:type="dxa"/>
          </w:tcPr>
          <w:p w14:paraId="4C1B394B"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postotak</w:t>
            </w:r>
          </w:p>
        </w:tc>
        <w:tc>
          <w:tcPr>
            <w:tcW w:w="1406" w:type="dxa"/>
          </w:tcPr>
          <w:p w14:paraId="4B71D17B"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17</w:t>
            </w:r>
          </w:p>
        </w:tc>
        <w:tc>
          <w:tcPr>
            <w:tcW w:w="912" w:type="dxa"/>
          </w:tcPr>
          <w:p w14:paraId="687E305A"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KBC Zagreb</w:t>
            </w:r>
          </w:p>
        </w:tc>
        <w:tc>
          <w:tcPr>
            <w:tcW w:w="1309" w:type="dxa"/>
          </w:tcPr>
          <w:p w14:paraId="4C11D046"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20</w:t>
            </w:r>
          </w:p>
        </w:tc>
        <w:tc>
          <w:tcPr>
            <w:tcW w:w="1454" w:type="dxa"/>
          </w:tcPr>
          <w:p w14:paraId="626FF6A1"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10</w:t>
            </w:r>
          </w:p>
        </w:tc>
      </w:tr>
    </w:tbl>
    <w:p w14:paraId="714CDEA2" w14:textId="77777777" w:rsidR="00E051CA" w:rsidRPr="00E051CA" w:rsidRDefault="00E051CA" w:rsidP="00E051CA">
      <w:pPr>
        <w:overflowPunct w:val="0"/>
        <w:autoSpaceDE w:val="0"/>
        <w:autoSpaceDN w:val="0"/>
        <w:adjustRightInd w:val="0"/>
        <w:spacing w:after="120" w:line="240" w:lineRule="auto"/>
        <w:textAlignment w:val="baseline"/>
        <w:rPr>
          <w:rFonts w:ascii="Times New Roman" w:eastAsia="Times New Roman" w:hAnsi="Times New Roman" w:cs="Times New Roman"/>
          <w:noProof/>
          <w:sz w:val="24"/>
          <w:szCs w:val="24"/>
        </w:rPr>
      </w:pPr>
    </w:p>
    <w:p w14:paraId="2D05E1AB" w14:textId="77777777" w:rsidR="00E051CA" w:rsidRPr="00E051CA" w:rsidRDefault="00E051CA" w:rsidP="00E051CA">
      <w:pPr>
        <w:overflowPunct w:val="0"/>
        <w:autoSpaceDE w:val="0"/>
        <w:autoSpaceDN w:val="0"/>
        <w:adjustRightInd w:val="0"/>
        <w:spacing w:after="120" w:line="240" w:lineRule="auto"/>
        <w:textAlignment w:val="baseline"/>
        <w:rPr>
          <w:rFonts w:ascii="Times New Roman" w:eastAsia="Times New Roman" w:hAnsi="Times New Roman" w:cs="Times New Roman"/>
          <w:noProof/>
          <w:sz w:val="24"/>
          <w:szCs w:val="24"/>
        </w:rPr>
      </w:pPr>
    </w:p>
    <w:p w14:paraId="55AF177D" w14:textId="77777777" w:rsidR="00E051CA" w:rsidRPr="00E051CA" w:rsidRDefault="00E051CA" w:rsidP="00E051CA">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noProof/>
          <w:sz w:val="24"/>
          <w:szCs w:val="24"/>
        </w:rPr>
      </w:pPr>
      <w:r w:rsidRPr="00E051CA">
        <w:rPr>
          <w:rFonts w:ascii="Times New Roman" w:eastAsia="Times New Roman" w:hAnsi="Times New Roman" w:cs="Times New Roman"/>
          <w:b/>
          <w:bCs/>
          <w:noProof/>
          <w:sz w:val="24"/>
          <w:szCs w:val="24"/>
        </w:rPr>
        <w:t>K891005 OPERATIVNI PROGRAM KONKURENTNOST I KOHEZIJA</w:t>
      </w:r>
    </w:p>
    <w:p w14:paraId="3925035B" w14:textId="77777777" w:rsidR="00E051CA" w:rsidRPr="00E051CA" w:rsidRDefault="00E051CA" w:rsidP="00E051C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t>Zakonske i druge pravne osnove</w:t>
      </w:r>
    </w:p>
    <w:p w14:paraId="5BFE97F1"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Nacionalna strategija razvoja zdravstva 2021.-2027.; Operativni program Konkurentnost i kohezija 2014.-2020.; Zakon o zdravstvenoj zaštiti; Zakon o obveznom zdravstvenom osiguranju.</w:t>
      </w:r>
    </w:p>
    <w:p w14:paraId="5117E93E"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p>
    <w:tbl>
      <w:tblPr>
        <w:tblStyle w:val="StilTablice1"/>
        <w:tblW w:w="9191" w:type="dxa"/>
        <w:jc w:val="center"/>
        <w:tblLook w:val="04A0" w:firstRow="1" w:lastRow="0" w:firstColumn="1" w:lastColumn="0" w:noHBand="0" w:noVBand="1"/>
      </w:tblPr>
      <w:tblGrid>
        <w:gridCol w:w="1881"/>
        <w:gridCol w:w="1603"/>
        <w:gridCol w:w="1315"/>
        <w:gridCol w:w="1480"/>
        <w:gridCol w:w="1425"/>
        <w:gridCol w:w="1487"/>
      </w:tblGrid>
      <w:tr w:rsidR="00E051CA" w:rsidRPr="00E051CA" w14:paraId="7E7E5127" w14:textId="77777777" w:rsidTr="001F4070">
        <w:trPr>
          <w:jc w:val="center"/>
        </w:trPr>
        <w:tc>
          <w:tcPr>
            <w:tcW w:w="1881" w:type="dxa"/>
            <w:shd w:val="clear" w:color="auto" w:fill="B5C0D8"/>
          </w:tcPr>
          <w:p w14:paraId="1D5BD08F"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Naziv aktivnosti</w:t>
            </w:r>
          </w:p>
        </w:tc>
        <w:tc>
          <w:tcPr>
            <w:tcW w:w="1603" w:type="dxa"/>
            <w:shd w:val="clear" w:color="auto" w:fill="B5C0D8"/>
          </w:tcPr>
          <w:p w14:paraId="665CBA0A"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Izvršenje 2022.</w:t>
            </w:r>
          </w:p>
        </w:tc>
        <w:tc>
          <w:tcPr>
            <w:tcW w:w="1315" w:type="dxa"/>
            <w:shd w:val="clear" w:color="auto" w:fill="B5C0D8"/>
          </w:tcPr>
          <w:p w14:paraId="0E5A0566"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Plan 2023.</w:t>
            </w:r>
          </w:p>
        </w:tc>
        <w:tc>
          <w:tcPr>
            <w:tcW w:w="1480" w:type="dxa"/>
            <w:shd w:val="clear" w:color="auto" w:fill="B5C0D8"/>
          </w:tcPr>
          <w:p w14:paraId="2E8DE5E2"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Izvršenje 2023.</w:t>
            </w:r>
          </w:p>
        </w:tc>
        <w:tc>
          <w:tcPr>
            <w:tcW w:w="1425" w:type="dxa"/>
            <w:shd w:val="clear" w:color="auto" w:fill="B5C0D8"/>
          </w:tcPr>
          <w:p w14:paraId="14B8E20D"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Indeks izvršenje 2023./plan 2023.</w:t>
            </w:r>
          </w:p>
        </w:tc>
        <w:tc>
          <w:tcPr>
            <w:tcW w:w="1487" w:type="dxa"/>
            <w:shd w:val="clear" w:color="auto" w:fill="B5C0D8"/>
          </w:tcPr>
          <w:p w14:paraId="13C4C320"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Indeks izvršenje 2023./2022.</w:t>
            </w:r>
          </w:p>
        </w:tc>
      </w:tr>
      <w:tr w:rsidR="00E051CA" w:rsidRPr="00E051CA" w14:paraId="13D4AE9E" w14:textId="77777777" w:rsidTr="001F4070">
        <w:trPr>
          <w:jc w:val="center"/>
        </w:trPr>
        <w:tc>
          <w:tcPr>
            <w:tcW w:w="1881" w:type="dxa"/>
            <w:vAlign w:val="top"/>
          </w:tcPr>
          <w:p w14:paraId="4EFC3DA7" w14:textId="77777777" w:rsidR="00E051CA" w:rsidRPr="00E051CA" w:rsidRDefault="00E051CA" w:rsidP="00E051CA">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bCs/>
                <w:noProof/>
                <w:szCs w:val="24"/>
                <w:lang w:eastAsia="hr-HR"/>
              </w:rPr>
              <w:t>K891005-OPERATIVNI PROGRAM KONKURENTNOST I KOHEZIJA</w:t>
            </w:r>
          </w:p>
        </w:tc>
        <w:tc>
          <w:tcPr>
            <w:tcW w:w="1603" w:type="dxa"/>
            <w:vAlign w:val="top"/>
          </w:tcPr>
          <w:p w14:paraId="3DD60C81"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19.562,51</w:t>
            </w:r>
          </w:p>
        </w:tc>
        <w:tc>
          <w:tcPr>
            <w:tcW w:w="1315" w:type="dxa"/>
            <w:vAlign w:val="top"/>
          </w:tcPr>
          <w:p w14:paraId="57AA8CB9"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230.007</w:t>
            </w:r>
          </w:p>
        </w:tc>
        <w:tc>
          <w:tcPr>
            <w:tcW w:w="1480" w:type="dxa"/>
            <w:vAlign w:val="top"/>
          </w:tcPr>
          <w:p w14:paraId="44E58992"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33.811,82</w:t>
            </w:r>
          </w:p>
        </w:tc>
        <w:tc>
          <w:tcPr>
            <w:tcW w:w="1425" w:type="dxa"/>
            <w:vAlign w:val="top"/>
          </w:tcPr>
          <w:p w14:paraId="34DB8340"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14,7</w:t>
            </w:r>
          </w:p>
        </w:tc>
        <w:tc>
          <w:tcPr>
            <w:tcW w:w="1487" w:type="dxa"/>
            <w:vAlign w:val="top"/>
          </w:tcPr>
          <w:p w14:paraId="64470697"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172,8</w:t>
            </w:r>
          </w:p>
        </w:tc>
      </w:tr>
    </w:tbl>
    <w:p w14:paraId="46E117FE"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lastRenderedPageBreak/>
        <w:t>Opis aktivnosti</w:t>
      </w:r>
    </w:p>
    <w:p w14:paraId="44625718"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Klinički bolnički centar Zagreb, najveća je bolnička ustanova u Republici Hrvatskoj, najveća baza kliničke nastave Medicinskog fakulteta Sveučilišta Zagreb. Od 2014. godine KBC Zagreb kategoriziran je kao „O središnja nacionalna bolnica“ u  kojoj se obavljaju zdravstvene djelatnosti od nacionalnog značaja te se obavljaju najsloženiji oblici pružanja zdravstvenih usluga i jedina je zdravstvena ustanova u Republici Hrvatskoj „O“ kategorije.</w:t>
      </w:r>
    </w:p>
    <w:p w14:paraId="0BB41C2C"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Dana 30. travnja 2021. godine, KBC Zagreb zaključio je Ugovore o dodjeli bespovratnih sredstava za projekte koji se financiraju iz Europskih Strukturnih i investicijskih Fondova u financijskom razdoblju 2014.-2020.:</w:t>
      </w:r>
    </w:p>
    <w:p w14:paraId="17A97F68" w14:textId="77777777" w:rsidR="00E051CA" w:rsidRPr="00E051CA" w:rsidRDefault="00E051CA" w:rsidP="00E051CA">
      <w:pPr>
        <w:numPr>
          <w:ilvl w:val="0"/>
          <w:numId w:val="4"/>
        </w:numPr>
        <w:overflowPunct w:val="0"/>
        <w:autoSpaceDE w:val="0"/>
        <w:autoSpaceDN w:val="0"/>
        <w:adjustRightInd w:val="0"/>
        <w:spacing w:after="120" w:line="240" w:lineRule="auto"/>
        <w:contextualSpacing/>
        <w:jc w:val="both"/>
        <w:textAlignment w:val="baseline"/>
        <w:rPr>
          <w:rFonts w:ascii="Times New Roman" w:eastAsia="Calibri" w:hAnsi="Times New Roman" w:cs="Times New Roman"/>
          <w:sz w:val="24"/>
          <w:szCs w:val="24"/>
        </w:rPr>
      </w:pPr>
      <w:r w:rsidRPr="00E051CA">
        <w:rPr>
          <w:rFonts w:ascii="Times New Roman" w:eastAsia="Calibri" w:hAnsi="Times New Roman" w:cs="Times New Roman"/>
          <w:sz w:val="24"/>
          <w:szCs w:val="24"/>
        </w:rPr>
        <w:t xml:space="preserve">Projekt oznake KK.01.1.1.09.004. „Centar za istraživanje genoma u onkologiji i </w:t>
      </w:r>
      <w:proofErr w:type="spellStart"/>
      <w:r w:rsidRPr="00E051CA">
        <w:rPr>
          <w:rFonts w:ascii="Times New Roman" w:eastAsia="Calibri" w:hAnsi="Times New Roman" w:cs="Times New Roman"/>
          <w:sz w:val="24"/>
          <w:szCs w:val="24"/>
        </w:rPr>
        <w:t>perinatologiji</w:t>
      </w:r>
      <w:proofErr w:type="spellEnd"/>
      <w:r w:rsidRPr="00E051CA">
        <w:rPr>
          <w:rFonts w:ascii="Times New Roman" w:eastAsia="Calibri" w:hAnsi="Times New Roman" w:cs="Times New Roman"/>
          <w:sz w:val="24"/>
          <w:szCs w:val="24"/>
        </w:rPr>
        <w:t xml:space="preserve">“, ukupna vrijednost Projekta iznosi 66.799,39 eura ( 503.300,00 kuna), razdoblje provedbe je 30  mjeseci. </w:t>
      </w:r>
    </w:p>
    <w:p w14:paraId="5C896DD4" w14:textId="77777777" w:rsidR="00E051CA" w:rsidRPr="00E051CA" w:rsidRDefault="00E051CA" w:rsidP="00E051CA">
      <w:pPr>
        <w:ind w:left="775"/>
        <w:contextualSpacing/>
        <w:rPr>
          <w:rFonts w:ascii="Times New Roman" w:eastAsia="Calibri" w:hAnsi="Times New Roman" w:cs="Times New Roman"/>
          <w:sz w:val="24"/>
          <w:szCs w:val="24"/>
        </w:rPr>
      </w:pPr>
      <w:r w:rsidRPr="00E051CA">
        <w:rPr>
          <w:rFonts w:ascii="Times New Roman" w:eastAsia="Calibri" w:hAnsi="Times New Roman" w:cs="Times New Roman"/>
          <w:sz w:val="24"/>
          <w:szCs w:val="24"/>
        </w:rPr>
        <w:t>Projekt je završen.</w:t>
      </w:r>
    </w:p>
    <w:p w14:paraId="1F474EEF" w14:textId="77777777" w:rsidR="00E051CA" w:rsidRPr="00E051CA" w:rsidRDefault="00E051CA" w:rsidP="00E051CA">
      <w:pPr>
        <w:numPr>
          <w:ilvl w:val="0"/>
          <w:numId w:val="4"/>
        </w:numPr>
        <w:overflowPunct w:val="0"/>
        <w:autoSpaceDE w:val="0"/>
        <w:autoSpaceDN w:val="0"/>
        <w:adjustRightInd w:val="0"/>
        <w:spacing w:after="120" w:line="240" w:lineRule="auto"/>
        <w:contextualSpacing/>
        <w:jc w:val="both"/>
        <w:textAlignment w:val="baseline"/>
        <w:rPr>
          <w:rFonts w:ascii="Times New Roman" w:eastAsia="Calibri" w:hAnsi="Times New Roman" w:cs="Times New Roman"/>
          <w:sz w:val="24"/>
          <w:szCs w:val="24"/>
        </w:rPr>
      </w:pPr>
      <w:r w:rsidRPr="00E051CA">
        <w:rPr>
          <w:rFonts w:ascii="Times New Roman" w:eastAsia="Calibri" w:hAnsi="Times New Roman" w:cs="Times New Roman"/>
          <w:sz w:val="24"/>
          <w:szCs w:val="24"/>
        </w:rPr>
        <w:t>Projekt oznake KK.01.1.1.09.005. „Centri za istraživanje i rano otkrivanje karcinoma pluća“, ukupna vrijednost Projekta iznosi 203.259,22 eura (1.531.456,60 kuna), razdoblje provedbe je 30 mjeseci.</w:t>
      </w:r>
    </w:p>
    <w:p w14:paraId="0DABF667" w14:textId="77777777" w:rsidR="00E051CA" w:rsidRPr="00E051CA" w:rsidRDefault="00E051CA" w:rsidP="00E051CA">
      <w:pPr>
        <w:ind w:left="775"/>
        <w:contextualSpacing/>
        <w:rPr>
          <w:rFonts w:ascii="Times New Roman" w:eastAsia="Calibri" w:hAnsi="Times New Roman" w:cs="Times New Roman"/>
          <w:sz w:val="24"/>
          <w:szCs w:val="24"/>
        </w:rPr>
      </w:pPr>
      <w:r w:rsidRPr="00E051CA">
        <w:rPr>
          <w:rFonts w:ascii="Times New Roman" w:eastAsia="Calibri" w:hAnsi="Times New Roman" w:cs="Times New Roman"/>
          <w:sz w:val="24"/>
          <w:szCs w:val="24"/>
        </w:rPr>
        <w:t>29. prosinca 2023. godine zatraženo je produženje razdoblje provedbe projekta uz vlastito financiranje.</w:t>
      </w:r>
    </w:p>
    <w:p w14:paraId="19187D26" w14:textId="77777777" w:rsidR="00E051CA" w:rsidRPr="00E051CA" w:rsidRDefault="00E051CA" w:rsidP="00E051CA">
      <w:pPr>
        <w:numPr>
          <w:ilvl w:val="0"/>
          <w:numId w:val="4"/>
        </w:numPr>
        <w:overflowPunct w:val="0"/>
        <w:autoSpaceDE w:val="0"/>
        <w:autoSpaceDN w:val="0"/>
        <w:adjustRightInd w:val="0"/>
        <w:spacing w:after="120" w:line="240" w:lineRule="auto"/>
        <w:contextualSpacing/>
        <w:jc w:val="both"/>
        <w:textAlignment w:val="baseline"/>
        <w:rPr>
          <w:rFonts w:ascii="Times New Roman" w:eastAsia="Calibri" w:hAnsi="Times New Roman" w:cs="Times New Roman"/>
          <w:sz w:val="24"/>
          <w:szCs w:val="24"/>
        </w:rPr>
      </w:pPr>
      <w:r w:rsidRPr="00E051CA">
        <w:rPr>
          <w:rFonts w:ascii="Times New Roman" w:eastAsia="Calibri" w:hAnsi="Times New Roman" w:cs="Times New Roman"/>
          <w:sz w:val="24"/>
          <w:szCs w:val="24"/>
        </w:rPr>
        <w:t xml:space="preserve">Projekt oznake KK.01.1.1.09.006. „Nacionalni centar za osobe s </w:t>
      </w:r>
      <w:proofErr w:type="spellStart"/>
      <w:r w:rsidRPr="00E051CA">
        <w:rPr>
          <w:rFonts w:ascii="Times New Roman" w:eastAsia="Calibri" w:hAnsi="Times New Roman" w:cs="Times New Roman"/>
          <w:sz w:val="24"/>
          <w:szCs w:val="24"/>
        </w:rPr>
        <w:t>multiplom</w:t>
      </w:r>
      <w:proofErr w:type="spellEnd"/>
      <w:r w:rsidRPr="00E051CA">
        <w:rPr>
          <w:rFonts w:ascii="Times New Roman" w:eastAsia="Calibri" w:hAnsi="Times New Roman" w:cs="Times New Roman"/>
          <w:sz w:val="24"/>
          <w:szCs w:val="24"/>
        </w:rPr>
        <w:t xml:space="preserve"> sklerozom“, ukupna vrijednost Projekta iznosi107.907,62 eura (813.030,00 kuna), razdoblje provedbe je 30 mjeseci.</w:t>
      </w:r>
    </w:p>
    <w:p w14:paraId="5B85E954" w14:textId="77777777" w:rsidR="00E051CA" w:rsidRPr="00E051CA" w:rsidRDefault="00E051CA" w:rsidP="00E051CA">
      <w:pPr>
        <w:ind w:left="775"/>
        <w:contextualSpacing/>
        <w:rPr>
          <w:rFonts w:ascii="Times New Roman" w:eastAsia="Calibri" w:hAnsi="Times New Roman" w:cs="Times New Roman"/>
          <w:sz w:val="24"/>
          <w:szCs w:val="24"/>
        </w:rPr>
      </w:pPr>
      <w:r w:rsidRPr="00E051CA">
        <w:rPr>
          <w:rFonts w:ascii="Times New Roman" w:eastAsia="Calibri" w:hAnsi="Times New Roman" w:cs="Times New Roman"/>
          <w:sz w:val="24"/>
          <w:szCs w:val="24"/>
        </w:rPr>
        <w:t>10. listopada 2023. godine raskinut je ugovor o financiranju (utrošena sredstva vraćena su u Državni proračun u iznosu od 7.538,16 eura).</w:t>
      </w:r>
    </w:p>
    <w:p w14:paraId="3E7E27B2" w14:textId="77777777" w:rsid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p>
    <w:p w14:paraId="3B552324" w14:textId="0E3265F5"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Ugovori su zaključeni između Ministarstva znanosti i obrazovanja (PT1), SAFU (PT2) i KBC-a Zagreb (Korisnika).</w:t>
      </w:r>
    </w:p>
    <w:p w14:paraId="4C31FDEF"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Ugovori su zaključeni temeljem poziva Priprema IRI infrastrukturnih projekata. Specifični cilj je povećana sposobnost sektora za istraživanje, razvoj i inovacije (IRI) za obavljanje istraživanja vrhunske kvalitete i zadovoljenje potreba gospodarstva.</w:t>
      </w:r>
    </w:p>
    <w:p w14:paraId="34E79C35"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U 2023. godini utrošena su sredstva u iznosu od 33.812 eura, od kojih je 5.072 eura financirano iz izvora 12 Sredstva učešća za pomoći te iznos 28.740 eura financiran je iz izvora 563 Europski fond za regionalni razvoj.</w:t>
      </w:r>
    </w:p>
    <w:p w14:paraId="346063B0" w14:textId="40A0C3D8" w:rsid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 xml:space="preserve">Za vanjsku stručnu uslugu administriranja projektom utrošen je iznos od 5.807 eura (871 eura financiran iz izvora 12, iznos 4.936 eura financiran iz izvora 563). Za potrebe izrade Studije izvedivosti s analizom troškova utrošen je iznos od 7.198 eura (1.080 eura financiran iz izvora 12, iznos 6.118 eura financiran iz izvora 563). Za potrebe izrade projektno/tehničke dokumentacije utrošen je iznos od 20.808 eura ( iznos od 3.121 eura financiran je iz izvora 12, a iznos od 17.687 financiran je iz izvora 563). </w:t>
      </w:r>
    </w:p>
    <w:p w14:paraId="728605A4" w14:textId="1A934C0F" w:rsidR="007E662B" w:rsidRDefault="007E662B"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p>
    <w:p w14:paraId="1FD98915" w14:textId="776CB5DB" w:rsidR="007E662B" w:rsidRDefault="007E662B"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p>
    <w:p w14:paraId="20897A7D" w14:textId="552CBE7D" w:rsidR="007E662B" w:rsidRDefault="007E662B"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p>
    <w:p w14:paraId="30949A47" w14:textId="77777777" w:rsidR="007E662B" w:rsidRPr="00E051CA" w:rsidRDefault="007E662B"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p>
    <w:p w14:paraId="70DD26E2" w14:textId="560053A0" w:rsidR="00E051CA" w:rsidRPr="00E051CA" w:rsidRDefault="00E051CA" w:rsidP="00E051C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lastRenderedPageBreak/>
        <w:t>Pokazatelji rezultata</w:t>
      </w:r>
    </w:p>
    <w:tbl>
      <w:tblPr>
        <w:tblStyle w:val="StilTablice1"/>
        <w:tblW w:w="9212" w:type="dxa"/>
        <w:jc w:val="center"/>
        <w:tblLook w:val="04A0" w:firstRow="1" w:lastRow="0" w:firstColumn="1" w:lastColumn="0" w:noHBand="0" w:noVBand="1"/>
      </w:tblPr>
      <w:tblGrid>
        <w:gridCol w:w="2193"/>
        <w:gridCol w:w="2194"/>
        <w:gridCol w:w="913"/>
        <w:gridCol w:w="994"/>
        <w:gridCol w:w="918"/>
        <w:gridCol w:w="994"/>
        <w:gridCol w:w="1006"/>
      </w:tblGrid>
      <w:tr w:rsidR="00E051CA" w:rsidRPr="00E051CA" w14:paraId="47269F8E" w14:textId="77777777" w:rsidTr="001F4070">
        <w:trPr>
          <w:jc w:val="center"/>
        </w:trPr>
        <w:tc>
          <w:tcPr>
            <w:tcW w:w="2193" w:type="dxa"/>
            <w:shd w:val="clear" w:color="auto" w:fill="B5C0D8"/>
          </w:tcPr>
          <w:p w14:paraId="6F29A509"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Pokazatelj rezultata</w:t>
            </w:r>
          </w:p>
        </w:tc>
        <w:tc>
          <w:tcPr>
            <w:tcW w:w="2194" w:type="dxa"/>
            <w:shd w:val="clear" w:color="auto" w:fill="B5C0D8"/>
          </w:tcPr>
          <w:p w14:paraId="2BAD2AB4"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Definicija</w:t>
            </w:r>
          </w:p>
        </w:tc>
        <w:tc>
          <w:tcPr>
            <w:tcW w:w="913" w:type="dxa"/>
            <w:shd w:val="clear" w:color="auto" w:fill="B5C0D8"/>
          </w:tcPr>
          <w:p w14:paraId="2D4C0C8A"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Jedinica</w:t>
            </w:r>
          </w:p>
        </w:tc>
        <w:tc>
          <w:tcPr>
            <w:tcW w:w="994" w:type="dxa"/>
            <w:shd w:val="clear" w:color="auto" w:fill="B5C0D8"/>
          </w:tcPr>
          <w:p w14:paraId="5989D91B"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Polazna vrijednost</w:t>
            </w:r>
          </w:p>
        </w:tc>
        <w:tc>
          <w:tcPr>
            <w:tcW w:w="918" w:type="dxa"/>
            <w:shd w:val="clear" w:color="auto" w:fill="B5C0D8"/>
          </w:tcPr>
          <w:p w14:paraId="185ACBE2"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Izvor podataka</w:t>
            </w:r>
          </w:p>
        </w:tc>
        <w:tc>
          <w:tcPr>
            <w:tcW w:w="994" w:type="dxa"/>
            <w:shd w:val="clear" w:color="auto" w:fill="B5C0D8"/>
          </w:tcPr>
          <w:p w14:paraId="6E4C663B"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Ciljana vrijednost (2023.)</w:t>
            </w:r>
          </w:p>
        </w:tc>
        <w:tc>
          <w:tcPr>
            <w:tcW w:w="1006" w:type="dxa"/>
            <w:shd w:val="clear" w:color="auto" w:fill="B5C0D8"/>
          </w:tcPr>
          <w:p w14:paraId="03FACA11"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Ostvarena vrijednost (2023.)</w:t>
            </w:r>
          </w:p>
        </w:tc>
      </w:tr>
      <w:tr w:rsidR="00E051CA" w:rsidRPr="00E051CA" w14:paraId="07A413FD" w14:textId="77777777" w:rsidTr="001F4070">
        <w:trPr>
          <w:jc w:val="center"/>
        </w:trPr>
        <w:tc>
          <w:tcPr>
            <w:tcW w:w="2193" w:type="dxa"/>
            <w:vAlign w:val="top"/>
          </w:tcPr>
          <w:p w14:paraId="2FC3D8F6" w14:textId="77777777" w:rsidR="00E051CA" w:rsidRPr="00E051CA" w:rsidRDefault="00E051CA" w:rsidP="00E051CA">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Pripremljen IRI infrastrukturni projekt „Centar za istraživanje genoma u onkologiji i perinatologiji“</w:t>
            </w:r>
          </w:p>
        </w:tc>
        <w:tc>
          <w:tcPr>
            <w:tcW w:w="2194" w:type="dxa"/>
            <w:vAlign w:val="top"/>
          </w:tcPr>
          <w:p w14:paraId="07672F0F" w14:textId="77777777" w:rsidR="00E051CA" w:rsidRPr="00E051CA" w:rsidRDefault="00E051CA" w:rsidP="00E051CA">
            <w:pPr>
              <w:overflowPunct w:val="0"/>
              <w:autoSpaceDE w:val="0"/>
              <w:autoSpaceDN w:val="0"/>
              <w:adjustRightInd w:val="0"/>
              <w:jc w:val="left"/>
              <w:textAlignment w:val="baseline"/>
              <w:rPr>
                <w:rFonts w:eastAsia="Times New Roman" w:cs="Times New Roman"/>
                <w:bCs/>
                <w:noProof/>
                <w:sz w:val="22"/>
                <w:szCs w:val="24"/>
                <w:highlight w:val="yellow"/>
                <w:lang w:eastAsia="hr-HR"/>
              </w:rPr>
            </w:pPr>
            <w:r w:rsidRPr="00E051CA">
              <w:rPr>
                <w:rFonts w:eastAsia="Times New Roman" w:cs="Times New Roman"/>
                <w:bCs/>
                <w:noProof/>
                <w:sz w:val="22"/>
                <w:szCs w:val="24"/>
                <w:lang w:eastAsia="hr-HR"/>
              </w:rPr>
              <w:t>Izrada projektne dokumentacije potrebne za kasniju uspješnu prijavu i provedbu IRI infrastruktornog projekta i organizacijske reforme</w:t>
            </w:r>
          </w:p>
        </w:tc>
        <w:tc>
          <w:tcPr>
            <w:tcW w:w="913" w:type="dxa"/>
          </w:tcPr>
          <w:p w14:paraId="1C851630"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Broj</w:t>
            </w:r>
          </w:p>
        </w:tc>
        <w:tc>
          <w:tcPr>
            <w:tcW w:w="994" w:type="dxa"/>
          </w:tcPr>
          <w:p w14:paraId="38B0EAB5"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0</w:t>
            </w:r>
          </w:p>
        </w:tc>
        <w:tc>
          <w:tcPr>
            <w:tcW w:w="918" w:type="dxa"/>
          </w:tcPr>
          <w:p w14:paraId="7628EF3A"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KBC Zagreb</w:t>
            </w:r>
          </w:p>
        </w:tc>
        <w:tc>
          <w:tcPr>
            <w:tcW w:w="994" w:type="dxa"/>
          </w:tcPr>
          <w:p w14:paraId="1B6E7D3B" w14:textId="77777777" w:rsidR="00E051CA" w:rsidRPr="00E051CA" w:rsidRDefault="00E051CA" w:rsidP="00E051CA">
            <w:pPr>
              <w:overflowPunct w:val="0"/>
              <w:autoSpaceDE w:val="0"/>
              <w:autoSpaceDN w:val="0"/>
              <w:adjustRightInd w:val="0"/>
              <w:textAlignment w:val="baseline"/>
              <w:rPr>
                <w:rFonts w:eastAsia="Times New Roman" w:cs="Times New Roman"/>
                <w:strike/>
                <w:noProof/>
                <w:sz w:val="22"/>
                <w:szCs w:val="24"/>
              </w:rPr>
            </w:pPr>
            <w:r w:rsidRPr="00E051CA">
              <w:rPr>
                <w:rFonts w:eastAsia="Times New Roman" w:cs="Times New Roman"/>
                <w:noProof/>
                <w:sz w:val="22"/>
                <w:szCs w:val="24"/>
              </w:rPr>
              <w:t>1</w:t>
            </w:r>
          </w:p>
        </w:tc>
        <w:tc>
          <w:tcPr>
            <w:tcW w:w="1006" w:type="dxa"/>
          </w:tcPr>
          <w:p w14:paraId="78C70F54"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1</w:t>
            </w:r>
          </w:p>
        </w:tc>
      </w:tr>
    </w:tbl>
    <w:p w14:paraId="5D5276BD" w14:textId="62B423C0" w:rsidR="007E662B" w:rsidRDefault="007E662B" w:rsidP="00E051C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noProof/>
          <w:sz w:val="24"/>
          <w:szCs w:val="24"/>
        </w:rPr>
      </w:pPr>
    </w:p>
    <w:p w14:paraId="5B4ACB61" w14:textId="77777777" w:rsidR="007E662B" w:rsidRPr="00E051CA" w:rsidRDefault="007E662B" w:rsidP="007E662B">
      <w:pPr>
        <w:keepNext/>
        <w:keepLines/>
        <w:pBdr>
          <w:top w:val="single" w:sz="4" w:space="0" w:color="auto"/>
          <w:bottom w:val="single" w:sz="4" w:space="1" w:color="auto"/>
        </w:pBdr>
        <w:spacing w:after="120" w:line="240" w:lineRule="auto"/>
        <w:outlineLvl w:val="3"/>
        <w:rPr>
          <w:rFonts w:ascii="Times New Roman" w:eastAsia="Times New Roman" w:hAnsi="Times New Roman" w:cs="Times New Roman"/>
          <w:b/>
          <w:bCs/>
          <w:noProof/>
          <w:sz w:val="24"/>
          <w:szCs w:val="24"/>
        </w:rPr>
      </w:pPr>
      <w:r w:rsidRPr="00E051CA">
        <w:rPr>
          <w:rFonts w:ascii="Times New Roman" w:eastAsia="Times New Roman" w:hAnsi="Times New Roman" w:cs="Times New Roman"/>
          <w:b/>
          <w:bCs/>
          <w:noProof/>
          <w:sz w:val="24"/>
          <w:szCs w:val="24"/>
        </w:rPr>
        <w:t>K891007 SANACIJA ŠTETA OD POTRESA</w:t>
      </w:r>
    </w:p>
    <w:p w14:paraId="4CC3B15D" w14:textId="58B78C81" w:rsidR="00E051CA" w:rsidRPr="00E051CA" w:rsidRDefault="00E051CA" w:rsidP="00E051C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t>Zakonske i druge pravne osnove</w:t>
      </w:r>
    </w:p>
    <w:p w14:paraId="0A7817FA"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 xml:space="preserve">Uredba Vijeća EZ br.2012/2002 od 11. studenog 2002. godine o osnivanju Fonda solidarnosti Europske unije. Ministarstvo zdravstva RH objavilo je poziv o dodjeli bespovratnih financijskih sredstava FSEU.2021.MZ za financiranje rashoda na sanaciji štete nastale uslijed potresa koji je 22. ožujka 2020. godine pogodio Grad Zagreb, Krapinsko-zagorsku i Zagrebačku županiju. </w:t>
      </w:r>
    </w:p>
    <w:p w14:paraId="3C3C8778" w14:textId="37C199E7" w:rsid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Ugovori o dodjeli bespovratnih financijskih sredstava, referentni brojevi FSEU.2021.MZ.024, FSEU.2021.MZ.035, FSEU.2021.MZ.002, FSEU.2021.MZ.004 i FSEU.2021.MZ.010</w:t>
      </w:r>
    </w:p>
    <w:p w14:paraId="1939FB60" w14:textId="77777777" w:rsidR="00D11BB2" w:rsidRPr="00E051CA" w:rsidRDefault="00D11BB2"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p>
    <w:tbl>
      <w:tblPr>
        <w:tblStyle w:val="StilTablice1"/>
        <w:tblW w:w="9150" w:type="dxa"/>
        <w:jc w:val="center"/>
        <w:tblLook w:val="04A0" w:firstRow="1" w:lastRow="0" w:firstColumn="1" w:lastColumn="0" w:noHBand="0" w:noVBand="1"/>
      </w:tblPr>
      <w:tblGrid>
        <w:gridCol w:w="1792"/>
        <w:gridCol w:w="1503"/>
        <w:gridCol w:w="1504"/>
        <w:gridCol w:w="1504"/>
        <w:gridCol w:w="1406"/>
        <w:gridCol w:w="1441"/>
      </w:tblGrid>
      <w:tr w:rsidR="00E051CA" w:rsidRPr="00E051CA" w14:paraId="5811D626" w14:textId="77777777" w:rsidTr="001F4070">
        <w:trPr>
          <w:jc w:val="center"/>
        </w:trPr>
        <w:tc>
          <w:tcPr>
            <w:tcW w:w="1792" w:type="dxa"/>
            <w:shd w:val="clear" w:color="auto" w:fill="B5C0D8"/>
          </w:tcPr>
          <w:p w14:paraId="7925E287"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lang w:eastAsia="hr-HR"/>
              </w:rPr>
            </w:pPr>
            <w:r w:rsidRPr="00E051CA">
              <w:rPr>
                <w:rFonts w:eastAsia="Times New Roman" w:cs="Times New Roman"/>
                <w:bCs/>
                <w:noProof/>
                <w:sz w:val="22"/>
                <w:lang w:eastAsia="hr-HR"/>
              </w:rPr>
              <w:t>Naziv aktivnosti</w:t>
            </w:r>
          </w:p>
        </w:tc>
        <w:tc>
          <w:tcPr>
            <w:tcW w:w="1503" w:type="dxa"/>
            <w:shd w:val="clear" w:color="auto" w:fill="B5C0D8"/>
          </w:tcPr>
          <w:p w14:paraId="3D705060"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lang w:eastAsia="hr-HR"/>
              </w:rPr>
            </w:pPr>
            <w:r w:rsidRPr="00E051CA">
              <w:rPr>
                <w:rFonts w:eastAsia="Times New Roman" w:cs="Times New Roman"/>
                <w:bCs/>
                <w:noProof/>
                <w:sz w:val="22"/>
                <w:lang w:eastAsia="hr-HR"/>
              </w:rPr>
              <w:t>Izvršenje 2022.</w:t>
            </w:r>
          </w:p>
        </w:tc>
        <w:tc>
          <w:tcPr>
            <w:tcW w:w="1504" w:type="dxa"/>
            <w:shd w:val="clear" w:color="auto" w:fill="B5C0D8"/>
          </w:tcPr>
          <w:p w14:paraId="18C84C1E"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lang w:eastAsia="hr-HR"/>
              </w:rPr>
            </w:pPr>
            <w:r w:rsidRPr="00E051CA">
              <w:rPr>
                <w:rFonts w:eastAsia="Times New Roman" w:cs="Times New Roman"/>
                <w:bCs/>
                <w:noProof/>
                <w:sz w:val="22"/>
                <w:lang w:eastAsia="hr-HR"/>
              </w:rPr>
              <w:t>Plan 2023.</w:t>
            </w:r>
          </w:p>
        </w:tc>
        <w:tc>
          <w:tcPr>
            <w:tcW w:w="1504" w:type="dxa"/>
            <w:shd w:val="clear" w:color="auto" w:fill="B5C0D8"/>
          </w:tcPr>
          <w:p w14:paraId="571CDB30"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lang w:eastAsia="hr-HR"/>
              </w:rPr>
            </w:pPr>
            <w:r w:rsidRPr="00E051CA">
              <w:rPr>
                <w:rFonts w:eastAsia="Times New Roman" w:cs="Times New Roman"/>
                <w:bCs/>
                <w:noProof/>
                <w:sz w:val="22"/>
                <w:lang w:eastAsia="hr-HR"/>
              </w:rPr>
              <w:t>Izvršenje 2023.</w:t>
            </w:r>
          </w:p>
        </w:tc>
        <w:tc>
          <w:tcPr>
            <w:tcW w:w="1406" w:type="dxa"/>
            <w:shd w:val="clear" w:color="auto" w:fill="B5C0D8"/>
          </w:tcPr>
          <w:p w14:paraId="09119470"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lang w:eastAsia="hr-HR"/>
              </w:rPr>
            </w:pPr>
            <w:r w:rsidRPr="00E051CA">
              <w:rPr>
                <w:rFonts w:eastAsia="Times New Roman" w:cs="Times New Roman"/>
                <w:bCs/>
                <w:noProof/>
                <w:sz w:val="22"/>
                <w:lang w:eastAsia="hr-HR"/>
              </w:rPr>
              <w:t>Indeks izvršenje 2023./plan 2023.</w:t>
            </w:r>
          </w:p>
        </w:tc>
        <w:tc>
          <w:tcPr>
            <w:tcW w:w="1441" w:type="dxa"/>
            <w:shd w:val="clear" w:color="auto" w:fill="B5C0D8"/>
          </w:tcPr>
          <w:p w14:paraId="0278318E"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lang w:eastAsia="hr-HR"/>
              </w:rPr>
            </w:pPr>
            <w:r w:rsidRPr="00E051CA">
              <w:rPr>
                <w:rFonts w:eastAsia="Times New Roman" w:cs="Times New Roman"/>
                <w:bCs/>
                <w:noProof/>
                <w:sz w:val="22"/>
                <w:lang w:eastAsia="hr-HR"/>
              </w:rPr>
              <w:t>Indeks izvršenje 2023./2022.</w:t>
            </w:r>
          </w:p>
        </w:tc>
      </w:tr>
      <w:tr w:rsidR="00E051CA" w:rsidRPr="00E051CA" w14:paraId="1A47C08B" w14:textId="77777777" w:rsidTr="001F4070">
        <w:trPr>
          <w:jc w:val="center"/>
        </w:trPr>
        <w:tc>
          <w:tcPr>
            <w:tcW w:w="1792" w:type="dxa"/>
            <w:vAlign w:val="top"/>
          </w:tcPr>
          <w:p w14:paraId="3F51472C" w14:textId="77777777" w:rsidR="00E051CA" w:rsidRPr="00E051CA" w:rsidRDefault="00E051CA" w:rsidP="007E662B">
            <w:pPr>
              <w:overflowPunct w:val="0"/>
              <w:autoSpaceDE w:val="0"/>
              <w:autoSpaceDN w:val="0"/>
              <w:adjustRightInd w:val="0"/>
              <w:jc w:val="left"/>
              <w:textAlignment w:val="baseline"/>
              <w:rPr>
                <w:rFonts w:eastAsia="Times New Roman" w:cs="Times New Roman"/>
                <w:bCs/>
                <w:noProof/>
                <w:sz w:val="22"/>
                <w:lang w:eastAsia="hr-HR"/>
              </w:rPr>
            </w:pPr>
            <w:r w:rsidRPr="00E051CA">
              <w:rPr>
                <w:rFonts w:eastAsia="Times New Roman" w:cs="Times New Roman"/>
                <w:bCs/>
                <w:noProof/>
                <w:lang w:eastAsia="hr-HR"/>
              </w:rPr>
              <w:t>K891007-SANACIJA ŠTETA OD POTRESA</w:t>
            </w:r>
          </w:p>
        </w:tc>
        <w:tc>
          <w:tcPr>
            <w:tcW w:w="1503" w:type="dxa"/>
            <w:vAlign w:val="top"/>
          </w:tcPr>
          <w:p w14:paraId="2C244BE3"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rPr>
            </w:pPr>
            <w:r w:rsidRPr="00E051CA">
              <w:rPr>
                <w:rFonts w:eastAsia="Times New Roman" w:cs="Times New Roman"/>
                <w:noProof/>
                <w:sz w:val="22"/>
              </w:rPr>
              <w:t>404.673,54</w:t>
            </w:r>
          </w:p>
        </w:tc>
        <w:tc>
          <w:tcPr>
            <w:tcW w:w="1504" w:type="dxa"/>
            <w:vAlign w:val="top"/>
          </w:tcPr>
          <w:p w14:paraId="07800255"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rPr>
            </w:pPr>
            <w:r w:rsidRPr="00E051CA">
              <w:rPr>
                <w:rFonts w:eastAsia="Times New Roman" w:cs="Times New Roman"/>
                <w:noProof/>
                <w:sz w:val="22"/>
              </w:rPr>
              <w:t>49.202.460</w:t>
            </w:r>
          </w:p>
        </w:tc>
        <w:tc>
          <w:tcPr>
            <w:tcW w:w="1504" w:type="dxa"/>
            <w:vAlign w:val="top"/>
          </w:tcPr>
          <w:p w14:paraId="54E63990"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rPr>
            </w:pPr>
            <w:r w:rsidRPr="00E051CA">
              <w:rPr>
                <w:rFonts w:eastAsia="Times New Roman" w:cs="Times New Roman"/>
                <w:noProof/>
                <w:sz w:val="22"/>
              </w:rPr>
              <w:t>35.050.329,49</w:t>
            </w:r>
          </w:p>
        </w:tc>
        <w:tc>
          <w:tcPr>
            <w:tcW w:w="1406" w:type="dxa"/>
            <w:vAlign w:val="top"/>
          </w:tcPr>
          <w:p w14:paraId="1F3B3C7B"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rPr>
            </w:pPr>
            <w:r w:rsidRPr="00E051CA">
              <w:rPr>
                <w:rFonts w:eastAsia="Times New Roman" w:cs="Times New Roman"/>
                <w:noProof/>
                <w:sz w:val="22"/>
              </w:rPr>
              <w:t>71,2</w:t>
            </w:r>
          </w:p>
        </w:tc>
        <w:tc>
          <w:tcPr>
            <w:tcW w:w="1441" w:type="dxa"/>
            <w:vAlign w:val="top"/>
          </w:tcPr>
          <w:p w14:paraId="3E8BF521"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rPr>
            </w:pPr>
            <w:r w:rsidRPr="00E051CA">
              <w:rPr>
                <w:rFonts w:eastAsia="Times New Roman" w:cs="Times New Roman"/>
                <w:noProof/>
                <w:sz w:val="22"/>
              </w:rPr>
              <w:t>8661,4</w:t>
            </w:r>
          </w:p>
        </w:tc>
      </w:tr>
    </w:tbl>
    <w:p w14:paraId="4DB247E5"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p>
    <w:p w14:paraId="4B7D0D42"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t>Opis aktivnosti</w:t>
      </w:r>
    </w:p>
    <w:p w14:paraId="17727A7D" w14:textId="77777777" w:rsidR="00E051CA" w:rsidRPr="00E051CA" w:rsidRDefault="00E051CA" w:rsidP="00E051CA">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 xml:space="preserve">Projekt obnove od potresa bolnice Petrova 13 obuhvaća hitne mjere zaštite, utvrđivanja stanja i izrade snimki zatečenog stanja te izradu dokumentacije za provedbu i samu provedbu cjelovite obnove koja podrazumijeva dodatno poboljšanje konstrukcija uz prilagodbu suvremenim standardima zgrade Petrova 13 u Zagrebu Klinike za ženske bolesti i porode koja je sastavni dio KBC-a Zagreb, a koja je oštećena u potresu 22. ožujka 2020. godine. Dodatkom br. 1 Ugovoru o dodjeli bespovratnih financijskih sredstava, dodijeljena su bespovratna sredstva u iznosu od 32.870.963,30 eura, od toga će se iz Fonda solidarnosti financirati 13.867.611,92 eura, dok će se iz Mehanizma za oporavak i otpornost i/ili iz drugih izvora financirati iznos od 19.003.351,38 eura. Dodatkom br. 2 Ugovoru o dodjeli bespovratnih financijskih sredstava, dodijeljena su bespovratna sredstva u iznosu od 34.049.979,82 eura, od toga će se iz Fonda solidarnosti financirati 14.746.674,90 eura, dok će se iz Mehanizma za oporavak i otpornost i/ili iz drugih izvora financirati iznos od 19.303.304,92 eura. </w:t>
      </w:r>
      <w:r w:rsidRPr="00E051CA">
        <w:rPr>
          <w:rFonts w:ascii="Times New Roman" w:eastAsia="Times New Roman" w:hAnsi="Times New Roman" w:cs="Times New Roman"/>
          <w:iCs/>
          <w:noProof/>
          <w:sz w:val="24"/>
          <w:szCs w:val="24"/>
        </w:rPr>
        <w:t xml:space="preserve">Nastavno na sklopljeni Dodatak br. 2 Ugovoru o dodjeli bespovratnih financijskih sredstava i dodatnim prihvatljivim </w:t>
      </w:r>
      <w:r w:rsidRPr="00E051CA">
        <w:rPr>
          <w:rFonts w:ascii="Times New Roman" w:eastAsia="Times New Roman" w:hAnsi="Times New Roman" w:cs="Times New Roman"/>
          <w:iCs/>
          <w:noProof/>
          <w:sz w:val="24"/>
          <w:szCs w:val="24"/>
        </w:rPr>
        <w:lastRenderedPageBreak/>
        <w:t>troškovima projekta te s obzirom na Uputu za planiranje, izvršavanje i knjigovodstveno evidentiranje sredstava iz Fonda solidarnosti proračunskih korisnika državnog proračuna, navedeni dodatni prihvatljivi troškovi financirani su iz podizvora.</w:t>
      </w:r>
    </w:p>
    <w:p w14:paraId="1DD1DB43" w14:textId="77777777" w:rsidR="00E051CA" w:rsidRPr="00E051CA" w:rsidRDefault="00E051CA" w:rsidP="00E051CA">
      <w:pPr>
        <w:spacing w:after="0" w:line="240" w:lineRule="auto"/>
        <w:jc w:val="both"/>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Financijskim planom za 2023. godinu planiran iznos financiranja za FSEU je 8.240.129 eura, a za NPOO 13.424.100 eura. U 2023. godini za navedeni projekt utrošena su sredstva u iznosu od 12.918.806 eura, od kojih je 7.250.613 eura financirano iz izvora 5761 Fond solidarnosti Europske unije - potres ožujak 2020., iznos od 11.917 eura financiran je iz podizvora 5765143 FSEU potres ožujak 2020. predfinanciran iz ostalih prihoda za posebne namjene, iznos od 10.245 eura financiran je iz podizvora 5765131 FSEU potres ožujak 2020. predfinanciran iz vlastitih prihoda, a iznos od 5.646.031 eura financiran je iz izvora 11 Opći prihodi i primici.</w:t>
      </w:r>
    </w:p>
    <w:p w14:paraId="16D5689E" w14:textId="77777777" w:rsidR="00E051CA" w:rsidRPr="00E051CA" w:rsidRDefault="00E051CA" w:rsidP="00E051CA">
      <w:pPr>
        <w:spacing w:after="0" w:line="240" w:lineRule="auto"/>
        <w:jc w:val="both"/>
        <w:rPr>
          <w:rFonts w:ascii="Times New Roman" w:eastAsia="Times New Roman" w:hAnsi="Times New Roman" w:cs="Times New Roman"/>
          <w:noProof/>
          <w:sz w:val="24"/>
          <w:szCs w:val="24"/>
        </w:rPr>
      </w:pPr>
    </w:p>
    <w:p w14:paraId="141B2F9F" w14:textId="77777777" w:rsidR="00E051CA" w:rsidRPr="00E051CA" w:rsidRDefault="00E051CA" w:rsidP="00E051CA">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 xml:space="preserve">Projekt obnove od potresa Klinike za plućne bolesti KBC-a Zagreb na lokaciji Jordanovac obuhvaća hitne mjere zaštite, utvrđivanja stanja i izrade snimki zatečenog stanja te izradu dokumentacije za provedbu i samu provedbu cjelovite obnove koja podrazumijeva dodatno poboljšanje konstrukcija uz prilagodbu suvremenim standardima zgrade Klinike za plućne bolesti na lokaciji Jordanovac, koja je sastavni dio KBC-a Zagreb, a oštećena je u potresu 22. ožujka 2020. godine. Dodatkom br. 1 Ugovoru o dodjeli bespovratnih financijskih sredstava, dodijeljena su bespovratna sredstva u iznosu od 26.837.629,11 eura, od toga će se iz Fonda solidarnosti financirati 11.281.499,86 eura, dok će se iz Mehanizma za oporavak i otpornost i/ili iz drugih izvora financirati iznos od 15.556.129,24 eura. Dodatkom br. 2 Ugovoru o dodjeli bespovratnih financijskih sredstava, dodijeljena su bespovratna sredstva u iznosu od 27.127.960,26 eura, od toga će se iz Fonda solidarnosti financirati 11.351.836,19 eura, dok će se iz Mehanizma za oporavak i otpornost i/ili iz drugih izvora financirati iznos od 15.776.124,07 eura. </w:t>
      </w:r>
      <w:r w:rsidRPr="00E051CA">
        <w:rPr>
          <w:rFonts w:ascii="Times New Roman" w:eastAsia="Times New Roman" w:hAnsi="Times New Roman" w:cs="Times New Roman"/>
          <w:iCs/>
          <w:noProof/>
          <w:sz w:val="24"/>
          <w:szCs w:val="24"/>
        </w:rPr>
        <w:t>Nastavno na sklopljeni Dodatak br. 2 Ugovoru o dodjeli bespovratnih financijskih sredstava i dodatnim prihvatljivim troškovima projekta te s obzirom na Uputu za planiranje, izvršavanje i knjigovodstveno evidentiranje sredstava iz Fonda solidarnosti proračunskih korisnika državnog proračuna, navedeni dodatni prihvatljivi troškovi financirani su iz podizvora.</w:t>
      </w:r>
    </w:p>
    <w:p w14:paraId="71FE9F68" w14:textId="77777777" w:rsidR="00E051CA" w:rsidRPr="00E051CA" w:rsidRDefault="00E051CA" w:rsidP="00E051CA">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Financijskim planom za 2023. godinu planiran iznos financiranja za FSEU je 3.238.545 eura, a za NPOO 11.607.190 eura. U 2023. godini za navedeni projekt utrošena su sredstva u iznosu od 5.072.276 eura, od kojih je 2.064.559 eura financirano iz izvora 5761 Fond solidarnosti Europske unije - potres ožujak 2020., iznos od 9.088 eura financiran je iz podizvora 5765131 FSEU potres ožujak 2020. predfinanciran iz vlastitih prihoda, a iznos od 2.998.629 eura financiran je iz izvora 11 Opći prihodi i primici.</w:t>
      </w:r>
    </w:p>
    <w:p w14:paraId="50363EE8" w14:textId="77777777" w:rsidR="00E051CA" w:rsidRPr="00E051CA" w:rsidRDefault="00E051CA" w:rsidP="00E051CA">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p>
    <w:p w14:paraId="4C183A4C" w14:textId="77777777" w:rsidR="00E051CA" w:rsidRPr="00E051CA" w:rsidRDefault="00E051CA" w:rsidP="00E051CA">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 xml:space="preserve">Projekt cjelovite obnove od potresa Žute zgrade u sklopu kompleksa KBC-a Rebro obuhvaća hitne mjere zaštite, utvrđivanja stanja i izrade snimki zatečenog stanja te izradu dokumentacije za provedbu i samu provedbu cjelovite obnove koja podrazumijeva dodatno poboljšanje konstrukcija uz prilagodbu suvremenim standardima Žute zgrade u sklopu kompleksa KBC-a Rebro koja je sastavni dio KBC-a Zagreb, a koja je oštećena u potresu 22. ožujka 2020. godine. Dodatkom br. 1 Ugovoru o dodjeli bespovratnih financijskih sredstava, dodijeljena su bespovratna sredstva u iznosu od 10.457.935,99 eura, od toga će se iz Fonda solidarnosti financirati 3.498.663,02 eura, dok će se iz Mehanizma za oporavak i otpornost i/ili iz drugih izvora financirati iznos od 6.959.272,97 eura. Dodatkom br. 2 Ugovoru o dodjeli bespovratnih financijskih sredstava, dodijeljena su bespovratna sredstva u iznosu od 10.564.114,24 eura, od toga će se iz Fonda solidarnosti financirati 3.530.516,50 eura, dok će se iz Mehanizma za oporavak i otpornost i/ili iz drugih izvora financirati iznos od 7.033.597,74 eura. Financijskim planom za 2023. godinu planiran iznos financiranja za FSEU je 2.000.746 eura, a za NPOO 4.465.810 eura. U 2023. godini za navedeni projekt utrošena su sredstva u iznosu od 3.399,631 </w:t>
      </w:r>
      <w:r w:rsidRPr="00E051CA">
        <w:rPr>
          <w:rFonts w:ascii="Times New Roman" w:eastAsia="Times New Roman" w:hAnsi="Times New Roman" w:cs="Times New Roman"/>
          <w:noProof/>
          <w:sz w:val="24"/>
          <w:szCs w:val="24"/>
        </w:rPr>
        <w:lastRenderedPageBreak/>
        <w:t>eura, od kojih je 1.781.815 eura financirano iz izvora 5761 Fond solidarnosti Europske unije - potres ožujak 2020., a iznos od 1.617.816 eura financiran je iz izvora 11 Opći prihodi i primici.</w:t>
      </w:r>
    </w:p>
    <w:p w14:paraId="588164A7" w14:textId="77777777" w:rsidR="00E051CA" w:rsidRPr="00E051CA" w:rsidRDefault="00E051CA" w:rsidP="00E051CA">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p>
    <w:p w14:paraId="76FF3BD9" w14:textId="77777777" w:rsidR="00E051CA" w:rsidRPr="00E051CA" w:rsidRDefault="00E051CA" w:rsidP="00E051CA">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 xml:space="preserve">Projekt cjelovite obnove od potresa Glavne zgrade KBC-a Zagreb na lokaciji Kišpatićeva 12 obuhvaća hitne mjere zaštite, utvrđivanja stanja i izrade snimki zatečenog stanja te izradu dokumentacije za provedbu i samu provedbu cjelovite obnove koja podrazumijeva dodatno poboljšanje konstrukcija uz prilagodbu suvremenim standardima Glavne zgrade KBC Zagreb koja je sastavni dio KBC-a Zagreb, a koja je oštećena u potresu 22. ožujka 2020. godine. Dodatkom br. 1 Ugovoru o dodjeli bespovratnih financijskih sredstava, dodijeljena su bespovratna sredstva u iznosu od 103.836.221,61 eura, od toga će se iz Fonda solidarnosti financirati 32.974.123,84 eura, dok će se iz Mehanizma za oporavak i otpornost i/ili iz drugih izvora financirati iznos od 70.862.097,77 eura. Dodatkom br. 2 Ugovoru o dodjeli bespovratnih financijskih sredstava, dodijeljena su bespovratna sredstva u iznosu od 105.073.500,86 eura, od toga će se iz Fonda solidarnosti financirati 33.233.905,24 eura, dok će se iz Mehanizma za oporavak i otpornost i/ili iz drugih izvora financirati iznos od 71.839.595,62 eura. </w:t>
      </w:r>
      <w:r w:rsidRPr="00E051CA">
        <w:rPr>
          <w:rFonts w:ascii="Times New Roman" w:eastAsia="Times New Roman" w:hAnsi="Times New Roman" w:cs="Times New Roman"/>
          <w:iCs/>
          <w:noProof/>
          <w:sz w:val="24"/>
          <w:szCs w:val="24"/>
        </w:rPr>
        <w:t>Nastavno na sklopljeni Dodatak br. 2 Ugovoru o dodjeli bespovratnih financijskih sredstava i dodatnim prihvatljivim troškovima projekta te s obzirom na Uputu za planiranje, izvršavanje i knjigovodstveno evidentiranje sredstava iz Fonda solidarnosti proračunskih korisnika državnog proračuna, navedeni dodatni prihvatljivi troškovi financirani su iz podizvora.</w:t>
      </w:r>
    </w:p>
    <w:p w14:paraId="38A7E43A" w14:textId="77777777" w:rsidR="00E051CA" w:rsidRPr="00E051CA" w:rsidRDefault="00E051CA" w:rsidP="00E051CA">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U 2023. godini za navedeni projekt utrošena su sredstva u iznosu od 13.655,729 eura, od kojih je 4.375.887 eura financirano iz izvora 5761 Fond solidarnosti Europske unije - potres ožujak 2020., iznos od 11.509 eura financiran je iz podizvora 5765143 FSEU potres ožujak 2020. predfinanciran iz ostalih prihoda za posebne namjene, iznos od 162.087 eura financiran je iz podizvora 5765131 FSEU potres ožujak 2020. predfinanciran iz vlastitih prihoda, a iznos od 9.106.246 eura financiran je iz izvora 11 Opći prihodi i primici.</w:t>
      </w:r>
    </w:p>
    <w:p w14:paraId="1BEB4A3B" w14:textId="77777777" w:rsidR="00E051CA" w:rsidRPr="00E051CA" w:rsidRDefault="00E051CA" w:rsidP="00E051CA">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p>
    <w:p w14:paraId="2C8B8603" w14:textId="77777777" w:rsidR="00E051CA" w:rsidRPr="00E051CA" w:rsidRDefault="00E051CA" w:rsidP="00E051CA">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 xml:space="preserve">Projekt obnove dimnjaka oštećenih u potresu na KBC-u Zagreb obuhvaća hitne mjere zaštite, utvrđivanja stanja i izrade snimki zatečenog stanja te izradu dokumentacije za provedbu i samu provedbu sanacije i obnove dimnjaka KBC-a Zagreb, koji su oštećeni u potresu 22. ožujka 2020. godine. Projekt obuhvaća pet dimnjaka na četiri različite lokacije, a u sastavu su KBC-a Zagreb i oštećeni su u potresu, Rebro - Kišpatićeva 12, Šalata 6 - dva dimnjaka, Petrova 13 i Božidarevićeva 11. Dimnjaci su oštećeni potresom i obavljeni su pregledi i nalazi statičara te je za svaki dimnjak utvrđena potrebna sanacija ili uklanjanje te cjelovita obnova/rekonstrukcija dimnjaka kako bi se izbjegli rizici od daljnjeg urušavanja te stradavanja ljudi i imovine. Dodatkom br. 3 Ugovoru o dodjeli bespovratnih financijskih sredstava, dodijeljena su bespovratna sredstva u iznosu od 408.561,45 eura koja će se financirati iz Fonda solidarnosti. </w:t>
      </w:r>
    </w:p>
    <w:p w14:paraId="7FA0ECFD" w14:textId="606D5E26" w:rsidR="00E051CA" w:rsidRDefault="00E051CA" w:rsidP="00E051CA">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U 2023. godini za navedeni projekt utrošena su sredstva u iznosu od 3.888 eura iz izvora 5761 Fond solidarnosti Europske unije - potres ožujak 2020.</w:t>
      </w:r>
    </w:p>
    <w:p w14:paraId="5EC1D48F" w14:textId="4D045C59" w:rsidR="00D11BB2" w:rsidRDefault="00D11BB2" w:rsidP="00E051CA">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p>
    <w:p w14:paraId="3B579979" w14:textId="2AA79A50" w:rsidR="00D11BB2" w:rsidRDefault="00D11BB2" w:rsidP="00E051CA">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p>
    <w:p w14:paraId="7AD7C35B" w14:textId="426E6129" w:rsidR="00D11BB2" w:rsidRDefault="00D11BB2" w:rsidP="00E051CA">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p>
    <w:p w14:paraId="1F923957" w14:textId="47AE711B" w:rsidR="00D11BB2" w:rsidRDefault="00D11BB2" w:rsidP="00E051CA">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p>
    <w:p w14:paraId="0A3602FC" w14:textId="551D3FC8" w:rsidR="00D11BB2" w:rsidRDefault="00D11BB2" w:rsidP="00E051CA">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p>
    <w:p w14:paraId="5E24CB5F" w14:textId="77777777" w:rsidR="00D11BB2" w:rsidRPr="00E051CA" w:rsidRDefault="00D11BB2" w:rsidP="00E051CA">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p>
    <w:p w14:paraId="5BB0A630" w14:textId="77777777" w:rsidR="00E051CA" w:rsidRPr="00E051CA" w:rsidRDefault="00E051CA" w:rsidP="00E051CA">
      <w:pPr>
        <w:overflowPunct w:val="0"/>
        <w:autoSpaceDE w:val="0"/>
        <w:autoSpaceDN w:val="0"/>
        <w:adjustRightInd w:val="0"/>
        <w:spacing w:after="120" w:line="240" w:lineRule="auto"/>
        <w:textAlignment w:val="baseline"/>
        <w:rPr>
          <w:rFonts w:ascii="Times New Roman" w:eastAsia="Times New Roman" w:hAnsi="Times New Roman" w:cs="Times New Roman"/>
          <w:noProof/>
          <w:sz w:val="24"/>
          <w:szCs w:val="24"/>
        </w:rPr>
      </w:pPr>
    </w:p>
    <w:p w14:paraId="22E45814" w14:textId="77777777" w:rsidR="00E051CA" w:rsidRPr="00E051CA" w:rsidRDefault="00E051CA" w:rsidP="00E051CA">
      <w:pPr>
        <w:keepNext/>
        <w:keepLines/>
        <w:pBdr>
          <w:top w:val="single" w:sz="4" w:space="1" w:color="auto"/>
          <w:bottom w:val="single" w:sz="4" w:space="1" w:color="auto"/>
        </w:pBdr>
        <w:shd w:val="clear" w:color="auto" w:fill="E6E6E6"/>
        <w:spacing w:after="120" w:line="288" w:lineRule="auto"/>
        <w:outlineLvl w:val="2"/>
        <w:rPr>
          <w:rFonts w:ascii="Times New Roman" w:eastAsia="Times New Roman" w:hAnsi="Times New Roman" w:cs="Times New Roman"/>
          <w:b/>
          <w:iCs/>
          <w:noProof/>
          <w:spacing w:val="20"/>
          <w:sz w:val="24"/>
          <w:szCs w:val="24"/>
        </w:rPr>
      </w:pPr>
      <w:r w:rsidRPr="00E051CA">
        <w:rPr>
          <w:rFonts w:ascii="Times New Roman" w:eastAsia="Times New Roman" w:hAnsi="Times New Roman" w:cs="Times New Roman"/>
          <w:b/>
          <w:iCs/>
          <w:noProof/>
          <w:spacing w:val="20"/>
          <w:sz w:val="24"/>
          <w:szCs w:val="24"/>
        </w:rPr>
        <w:lastRenderedPageBreak/>
        <w:t>3605 SIGURNOST GRAĐANA I PRAVA NA ZDRAVSTVENE USLUGE</w:t>
      </w:r>
    </w:p>
    <w:tbl>
      <w:tblPr>
        <w:tblStyle w:val="StilTablice1"/>
        <w:tblW w:w="9150" w:type="dxa"/>
        <w:jc w:val="center"/>
        <w:tblLook w:val="04A0" w:firstRow="1" w:lastRow="0" w:firstColumn="1" w:lastColumn="0" w:noHBand="0" w:noVBand="1"/>
      </w:tblPr>
      <w:tblGrid>
        <w:gridCol w:w="1570"/>
        <w:gridCol w:w="1544"/>
        <w:gridCol w:w="1532"/>
        <w:gridCol w:w="1534"/>
        <w:gridCol w:w="1474"/>
        <w:gridCol w:w="1496"/>
      </w:tblGrid>
      <w:tr w:rsidR="00E051CA" w:rsidRPr="00E051CA" w14:paraId="7FBD9A75" w14:textId="77777777" w:rsidTr="001F4070">
        <w:trPr>
          <w:jc w:val="center"/>
        </w:trPr>
        <w:tc>
          <w:tcPr>
            <w:tcW w:w="1570" w:type="dxa"/>
            <w:shd w:val="clear" w:color="auto" w:fill="B5C0D8"/>
          </w:tcPr>
          <w:p w14:paraId="2D13CC89" w14:textId="77777777" w:rsidR="00E051CA" w:rsidRPr="00E051CA" w:rsidRDefault="00E051CA" w:rsidP="00E051CA">
            <w:pPr>
              <w:overflowPunct w:val="0"/>
              <w:autoSpaceDE w:val="0"/>
              <w:autoSpaceDN w:val="0"/>
              <w:adjustRightInd w:val="0"/>
              <w:jc w:val="both"/>
              <w:textAlignment w:val="baseline"/>
              <w:rPr>
                <w:rFonts w:eastAsia="Times New Roman" w:cs="Times New Roman"/>
                <w:bCs/>
                <w:noProof/>
                <w:sz w:val="22"/>
                <w:szCs w:val="24"/>
                <w:lang w:eastAsia="hr-HR"/>
              </w:rPr>
            </w:pPr>
          </w:p>
        </w:tc>
        <w:tc>
          <w:tcPr>
            <w:tcW w:w="1544" w:type="dxa"/>
            <w:shd w:val="clear" w:color="auto" w:fill="B5C0D8"/>
          </w:tcPr>
          <w:p w14:paraId="6B9A725E"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Izvršenje 2022.</w:t>
            </w:r>
          </w:p>
        </w:tc>
        <w:tc>
          <w:tcPr>
            <w:tcW w:w="1532" w:type="dxa"/>
            <w:shd w:val="clear" w:color="auto" w:fill="B5C0D8"/>
          </w:tcPr>
          <w:p w14:paraId="1F226EBF"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Plan 2023.</w:t>
            </w:r>
          </w:p>
        </w:tc>
        <w:tc>
          <w:tcPr>
            <w:tcW w:w="1534" w:type="dxa"/>
            <w:shd w:val="clear" w:color="auto" w:fill="B5C0D8"/>
          </w:tcPr>
          <w:p w14:paraId="06FF4CC3"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Izvršenje 2023.</w:t>
            </w:r>
          </w:p>
        </w:tc>
        <w:tc>
          <w:tcPr>
            <w:tcW w:w="1474" w:type="dxa"/>
            <w:shd w:val="clear" w:color="auto" w:fill="B5C0D8"/>
          </w:tcPr>
          <w:p w14:paraId="0B30913C"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Indeks izvršenje 2023./plan 2023.</w:t>
            </w:r>
          </w:p>
        </w:tc>
        <w:tc>
          <w:tcPr>
            <w:tcW w:w="1496" w:type="dxa"/>
            <w:shd w:val="clear" w:color="auto" w:fill="B5C0D8"/>
          </w:tcPr>
          <w:p w14:paraId="61406DB5"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Indeks izvršenje 2023./2022.</w:t>
            </w:r>
          </w:p>
        </w:tc>
      </w:tr>
      <w:tr w:rsidR="00E051CA" w:rsidRPr="00E051CA" w14:paraId="0A8E4BB6" w14:textId="77777777" w:rsidTr="001F4070">
        <w:trPr>
          <w:jc w:val="center"/>
        </w:trPr>
        <w:tc>
          <w:tcPr>
            <w:tcW w:w="1570" w:type="dxa"/>
            <w:vAlign w:val="top"/>
          </w:tcPr>
          <w:p w14:paraId="27DB7550" w14:textId="77777777" w:rsidR="00E051CA" w:rsidRPr="00E051CA" w:rsidRDefault="00E051CA" w:rsidP="00D11BB2">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bCs/>
                <w:noProof/>
                <w:szCs w:val="24"/>
                <w:lang w:eastAsia="hr-HR"/>
              </w:rPr>
              <w:t>3605-SIGURNOST GRAĐANA I PRAVA NA ZDRAVSTVENE USLUGE</w:t>
            </w:r>
          </w:p>
        </w:tc>
        <w:tc>
          <w:tcPr>
            <w:tcW w:w="1544" w:type="dxa"/>
          </w:tcPr>
          <w:p w14:paraId="29304CD0" w14:textId="77777777" w:rsidR="00E051CA" w:rsidRPr="00E051CA" w:rsidRDefault="00E051CA" w:rsidP="00E051CA">
            <w:pPr>
              <w:overflowPunct w:val="0"/>
              <w:autoSpaceDE w:val="0"/>
              <w:autoSpaceDN w:val="0"/>
              <w:adjustRightInd w:val="0"/>
              <w:jc w:val="righ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461.580.718,73</w:t>
            </w:r>
          </w:p>
        </w:tc>
        <w:tc>
          <w:tcPr>
            <w:tcW w:w="1532" w:type="dxa"/>
          </w:tcPr>
          <w:p w14:paraId="3CFF9DBB" w14:textId="77777777" w:rsidR="00E051CA" w:rsidRPr="00E051CA" w:rsidRDefault="00E051CA" w:rsidP="00E051CA">
            <w:pPr>
              <w:overflowPunct w:val="0"/>
              <w:autoSpaceDE w:val="0"/>
              <w:autoSpaceDN w:val="0"/>
              <w:adjustRightInd w:val="0"/>
              <w:jc w:val="righ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461.303.507</w:t>
            </w:r>
          </w:p>
        </w:tc>
        <w:tc>
          <w:tcPr>
            <w:tcW w:w="1534" w:type="dxa"/>
          </w:tcPr>
          <w:p w14:paraId="3552E46E" w14:textId="77777777" w:rsidR="00E051CA" w:rsidRPr="00E051CA" w:rsidRDefault="00E051CA" w:rsidP="00E051CA">
            <w:pPr>
              <w:overflowPunct w:val="0"/>
              <w:autoSpaceDE w:val="0"/>
              <w:autoSpaceDN w:val="0"/>
              <w:adjustRightInd w:val="0"/>
              <w:jc w:val="righ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516.599.650</w:t>
            </w:r>
          </w:p>
        </w:tc>
        <w:tc>
          <w:tcPr>
            <w:tcW w:w="1474" w:type="dxa"/>
          </w:tcPr>
          <w:p w14:paraId="48120D1A" w14:textId="77777777" w:rsidR="00E051CA" w:rsidRPr="00E051CA" w:rsidRDefault="00E051CA" w:rsidP="00E051CA">
            <w:pPr>
              <w:overflowPunct w:val="0"/>
              <w:autoSpaceDE w:val="0"/>
              <w:autoSpaceDN w:val="0"/>
              <w:adjustRightInd w:val="0"/>
              <w:jc w:val="righ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112,0</w:t>
            </w:r>
          </w:p>
        </w:tc>
        <w:tc>
          <w:tcPr>
            <w:tcW w:w="1496" w:type="dxa"/>
          </w:tcPr>
          <w:p w14:paraId="778D80AC" w14:textId="77777777" w:rsidR="00E051CA" w:rsidRPr="00E051CA" w:rsidRDefault="00E051CA" w:rsidP="00E051CA">
            <w:pPr>
              <w:overflowPunct w:val="0"/>
              <w:autoSpaceDE w:val="0"/>
              <w:autoSpaceDN w:val="0"/>
              <w:adjustRightInd w:val="0"/>
              <w:jc w:val="righ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111,9</w:t>
            </w:r>
          </w:p>
        </w:tc>
      </w:tr>
    </w:tbl>
    <w:p w14:paraId="0FFB3719" w14:textId="77777777" w:rsidR="00E051CA" w:rsidRPr="00E051CA" w:rsidRDefault="00E051CA" w:rsidP="00E051C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noProof/>
          <w:sz w:val="24"/>
          <w:szCs w:val="24"/>
        </w:rPr>
      </w:pPr>
    </w:p>
    <w:p w14:paraId="6EC3EE67" w14:textId="77777777" w:rsidR="00E051CA" w:rsidRPr="00E051CA" w:rsidRDefault="00E051CA" w:rsidP="00E051C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t>Cilj 1. Zaštita, očuvanje i unapređenje zdravlja</w:t>
      </w:r>
    </w:p>
    <w:p w14:paraId="6D9DD283" w14:textId="77777777" w:rsidR="00E051CA" w:rsidRPr="00E051CA" w:rsidRDefault="00E051CA" w:rsidP="00E051CA">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noProof/>
          <w:sz w:val="24"/>
          <w:szCs w:val="24"/>
        </w:rPr>
      </w:pPr>
      <w:r w:rsidRPr="00E051CA">
        <w:rPr>
          <w:rFonts w:ascii="Times New Roman" w:eastAsia="Times New Roman" w:hAnsi="Times New Roman" w:cs="Times New Roman"/>
          <w:b/>
          <w:bCs/>
          <w:noProof/>
          <w:sz w:val="24"/>
          <w:szCs w:val="24"/>
        </w:rPr>
        <w:t>A891001 ADMINISTRACIJA I UPRAVLJANJE – OSTALI IZVORI FINANCIRANJA</w:t>
      </w:r>
    </w:p>
    <w:p w14:paraId="5AA1D769" w14:textId="77777777" w:rsidR="00E051CA" w:rsidRPr="00E051CA" w:rsidRDefault="00E051CA" w:rsidP="00E051C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t>Zakonske i druge pravne osnove</w:t>
      </w:r>
    </w:p>
    <w:p w14:paraId="0DD1BFAC"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Zakon o zdravstvenoj zaštiti, Zakon o primjeni ljudskih tkiva i stanica, Pravilnik o uvjetima u pogledu prostora, stručnih radnika, medicinsko-tehničke opreme i sustava kvalitete za obavljanje djelatnosti prikupljanja, uzimanja, testiranja, obrade, očuvanja, pohrane i raspodjele ljudskih tkiva i stanica, Pravilnik o načinu praćenja ozbiljnih štetnih događaja i ozbiljnih štetnih reakcija u području primjene ljudskih tkiva i stanica, načinu vođenja evidencije i rokovima izvješćivanja te sadržaju i obliku tiskanice godišnjeg izvješća i Zakon o obveznom zdravstvenom osiguranju</w:t>
      </w:r>
    </w:p>
    <w:p w14:paraId="42B2EBDF"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p>
    <w:tbl>
      <w:tblPr>
        <w:tblStyle w:val="StilTablice1"/>
        <w:tblW w:w="9150" w:type="dxa"/>
        <w:jc w:val="center"/>
        <w:tblLook w:val="04A0" w:firstRow="1" w:lastRow="0" w:firstColumn="1" w:lastColumn="0" w:noHBand="0" w:noVBand="1"/>
      </w:tblPr>
      <w:tblGrid>
        <w:gridCol w:w="1793"/>
        <w:gridCol w:w="1649"/>
        <w:gridCol w:w="1434"/>
        <w:gridCol w:w="1489"/>
        <w:gridCol w:w="1371"/>
        <w:gridCol w:w="1414"/>
      </w:tblGrid>
      <w:tr w:rsidR="00E051CA" w:rsidRPr="00E051CA" w14:paraId="3EFBA349" w14:textId="77777777" w:rsidTr="001F4070">
        <w:trPr>
          <w:jc w:val="center"/>
        </w:trPr>
        <w:tc>
          <w:tcPr>
            <w:tcW w:w="1793" w:type="dxa"/>
            <w:shd w:val="clear" w:color="auto" w:fill="B5C0D8"/>
          </w:tcPr>
          <w:p w14:paraId="650FA14D"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Naziv aktivnosti</w:t>
            </w:r>
          </w:p>
        </w:tc>
        <w:tc>
          <w:tcPr>
            <w:tcW w:w="1654" w:type="dxa"/>
            <w:shd w:val="clear" w:color="auto" w:fill="B5C0D8"/>
          </w:tcPr>
          <w:p w14:paraId="23ABF844"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Izvršenje 2022.</w:t>
            </w:r>
          </w:p>
        </w:tc>
        <w:tc>
          <w:tcPr>
            <w:tcW w:w="1440" w:type="dxa"/>
            <w:shd w:val="clear" w:color="auto" w:fill="B5C0D8"/>
          </w:tcPr>
          <w:p w14:paraId="176014C2"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Plan 2023.</w:t>
            </w:r>
          </w:p>
        </w:tc>
        <w:tc>
          <w:tcPr>
            <w:tcW w:w="1462" w:type="dxa"/>
            <w:shd w:val="clear" w:color="auto" w:fill="B5C0D8"/>
          </w:tcPr>
          <w:p w14:paraId="5C0917F6"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Izvršenje 2023.</w:t>
            </w:r>
          </w:p>
        </w:tc>
        <w:tc>
          <w:tcPr>
            <w:tcW w:w="1380" w:type="dxa"/>
            <w:shd w:val="clear" w:color="auto" w:fill="B5C0D8"/>
          </w:tcPr>
          <w:p w14:paraId="63E92F20"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Indeks izvršenje 2023./plan 2023.</w:t>
            </w:r>
          </w:p>
        </w:tc>
        <w:tc>
          <w:tcPr>
            <w:tcW w:w="1421" w:type="dxa"/>
            <w:shd w:val="clear" w:color="auto" w:fill="B5C0D8"/>
          </w:tcPr>
          <w:p w14:paraId="03C1DB03"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Indeks izvršenje 2023./2022.</w:t>
            </w:r>
          </w:p>
        </w:tc>
      </w:tr>
      <w:tr w:rsidR="00E051CA" w:rsidRPr="00E051CA" w14:paraId="78503079" w14:textId="77777777" w:rsidTr="001F4070">
        <w:trPr>
          <w:jc w:val="center"/>
        </w:trPr>
        <w:tc>
          <w:tcPr>
            <w:tcW w:w="1793" w:type="dxa"/>
            <w:vAlign w:val="top"/>
          </w:tcPr>
          <w:p w14:paraId="56B3ECE7" w14:textId="77777777" w:rsidR="00E051CA" w:rsidRPr="00E051CA" w:rsidRDefault="00E051CA" w:rsidP="00682827">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bCs/>
                <w:noProof/>
                <w:szCs w:val="24"/>
                <w:lang w:eastAsia="hr-HR"/>
              </w:rPr>
              <w:t>A891001-ADMINISTRACIJA I UPRAVLJANJE-OSTALI IZVORI FINANCIRANJA</w:t>
            </w:r>
          </w:p>
        </w:tc>
        <w:tc>
          <w:tcPr>
            <w:tcW w:w="1654" w:type="dxa"/>
            <w:vAlign w:val="top"/>
          </w:tcPr>
          <w:p w14:paraId="4F943B66"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461.382.718,96</w:t>
            </w:r>
          </w:p>
        </w:tc>
        <w:tc>
          <w:tcPr>
            <w:tcW w:w="1440" w:type="dxa"/>
            <w:vAlign w:val="top"/>
          </w:tcPr>
          <w:p w14:paraId="04B79DF6" w14:textId="77777777" w:rsidR="00E051CA" w:rsidRPr="00E051CA" w:rsidRDefault="00E051CA" w:rsidP="00E051CA">
            <w:pPr>
              <w:spacing w:after="0"/>
              <w:jc w:val="right"/>
              <w:rPr>
                <w:rFonts w:eastAsia="Times New Roman" w:cs="Times New Roman"/>
                <w:noProof/>
                <w:sz w:val="22"/>
                <w:szCs w:val="24"/>
              </w:rPr>
            </w:pPr>
            <w:r w:rsidRPr="00E051CA">
              <w:rPr>
                <w:rFonts w:eastAsia="Times New Roman" w:cs="Times New Roman"/>
                <w:noProof/>
                <w:sz w:val="22"/>
                <w:szCs w:val="24"/>
              </w:rPr>
              <w:t>461.071.242</w:t>
            </w:r>
          </w:p>
          <w:p w14:paraId="13339B0B"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p>
        </w:tc>
        <w:tc>
          <w:tcPr>
            <w:tcW w:w="1462" w:type="dxa"/>
            <w:vAlign w:val="top"/>
          </w:tcPr>
          <w:p w14:paraId="3DCFC312" w14:textId="77777777" w:rsidR="00E051CA" w:rsidRPr="00E051CA" w:rsidRDefault="00E051CA" w:rsidP="00E051CA">
            <w:pPr>
              <w:spacing w:after="0"/>
              <w:jc w:val="right"/>
              <w:rPr>
                <w:rFonts w:eastAsia="Times New Roman" w:cs="Times New Roman"/>
                <w:noProof/>
                <w:sz w:val="22"/>
                <w:szCs w:val="24"/>
              </w:rPr>
            </w:pPr>
            <w:r w:rsidRPr="00E051CA">
              <w:rPr>
                <w:rFonts w:eastAsia="Times New Roman" w:cs="Times New Roman"/>
                <w:noProof/>
                <w:sz w:val="22"/>
                <w:szCs w:val="24"/>
              </w:rPr>
              <w:t>516.384.203,77</w:t>
            </w:r>
          </w:p>
          <w:p w14:paraId="667B6DB7"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p>
        </w:tc>
        <w:tc>
          <w:tcPr>
            <w:tcW w:w="1380" w:type="dxa"/>
            <w:vAlign w:val="top"/>
          </w:tcPr>
          <w:p w14:paraId="282D0011"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112,0</w:t>
            </w:r>
          </w:p>
        </w:tc>
        <w:tc>
          <w:tcPr>
            <w:tcW w:w="1421" w:type="dxa"/>
            <w:vAlign w:val="top"/>
          </w:tcPr>
          <w:p w14:paraId="616845F2"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111,9</w:t>
            </w:r>
          </w:p>
        </w:tc>
      </w:tr>
    </w:tbl>
    <w:p w14:paraId="376090D0"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p>
    <w:p w14:paraId="0EA042F9"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t>Opis aktivnosti</w:t>
      </w:r>
    </w:p>
    <w:p w14:paraId="353601E8" w14:textId="77777777" w:rsidR="00E051CA" w:rsidRPr="00E051CA" w:rsidRDefault="00E051CA" w:rsidP="00E051CA">
      <w:pPr>
        <w:spacing w:after="0" w:line="240" w:lineRule="auto"/>
        <w:jc w:val="both"/>
        <w:rPr>
          <w:rFonts w:ascii="Times New Roman" w:eastAsia="Times New Roman" w:hAnsi="Times New Roman" w:cs="Times New Roman"/>
          <w:sz w:val="24"/>
          <w:szCs w:val="24"/>
          <w:lang w:eastAsia="hr-HR"/>
        </w:rPr>
      </w:pPr>
      <w:r w:rsidRPr="00E051CA">
        <w:rPr>
          <w:rFonts w:ascii="Times New Roman" w:eastAsia="Times New Roman" w:hAnsi="Times New Roman" w:cs="Times New Roman"/>
          <w:noProof/>
          <w:sz w:val="24"/>
          <w:szCs w:val="24"/>
        </w:rPr>
        <w:t>KBC Zagreb je za aktivnost A891001 Administracija i upravljanje u 2023. godini utrošio sredstva u ukupnom iznosu od 516.384.204 eura, odnosno 35.630.863</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 xml:space="preserve">eura iz općih prihoda i primitaka (izvor 11), 5.570.944 </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iz vlastitih prihoda (izvor 31), 442.923.625</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iz ostalih prihoda za posebne namjene (izvor 43), 32.144.147</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iz ostalih pomoći (izvor 52) te 114.624</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iz donacija (izvor 61).</w:t>
      </w:r>
    </w:p>
    <w:p w14:paraId="73F3E4A4" w14:textId="77777777" w:rsidR="00E051CA" w:rsidRPr="00E051CA" w:rsidRDefault="00E051CA" w:rsidP="00E051CA">
      <w:pPr>
        <w:spacing w:after="0" w:line="240" w:lineRule="auto"/>
        <w:jc w:val="both"/>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 xml:space="preserve">Navedeni rashodi financirani iz općih prihoda i primitaka (izvor 11) odnose se na podmirenje dijela dospjelih obveza prema dobavljačima lijekova, potrošnog i ugradbenog medicinskog materijala za što je KBC-u Zagreb doznačeno 35.610.136 eura sukladno Odlukama Vlade Republike Hrvatske. Za isplatu razlike uvećanja plaće za prekovremeni rad temeljem zaključenih sporazuma s radnicima koji nisu pokrenuli sudske postupke KBC Zagreb je utrošio </w:t>
      </w:r>
      <w:r w:rsidRPr="00E051CA">
        <w:rPr>
          <w:rFonts w:ascii="Times New Roman" w:eastAsia="Times New Roman" w:hAnsi="Times New Roman" w:cs="Times New Roman"/>
          <w:noProof/>
          <w:sz w:val="24"/>
          <w:szCs w:val="24"/>
        </w:rPr>
        <w:lastRenderedPageBreak/>
        <w:t>sredstva u iznosu od 20.727</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w:t>
      </w:r>
      <w:r w:rsidRPr="00E051CA">
        <w:rPr>
          <w:rFonts w:ascii="Times New Roman" w:eastAsia="Times New Roman" w:hAnsi="Times New Roman" w:cs="Times New Roman"/>
          <w:noProof/>
          <w:color w:val="833C0B"/>
          <w:sz w:val="24"/>
          <w:szCs w:val="24"/>
        </w:rPr>
        <w:t xml:space="preserve"> </w:t>
      </w:r>
      <w:r w:rsidRPr="00E051CA">
        <w:rPr>
          <w:rFonts w:ascii="Times New Roman" w:eastAsia="Times New Roman" w:hAnsi="Times New Roman" w:cs="Times New Roman"/>
          <w:noProof/>
          <w:sz w:val="24"/>
          <w:szCs w:val="24"/>
        </w:rPr>
        <w:t>sukladno Odlukama Ministarstva zdravstva i provedenim preraspodjelama.</w:t>
      </w:r>
    </w:p>
    <w:p w14:paraId="6E974CBB" w14:textId="77777777" w:rsidR="00E051CA" w:rsidRPr="00E051CA" w:rsidRDefault="00E051CA" w:rsidP="00E051CA">
      <w:pPr>
        <w:spacing w:after="0" w:line="240" w:lineRule="auto"/>
        <w:jc w:val="both"/>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 xml:space="preserve">Iz vlastitih prihoda (izvor 31) utrošeno je 5.570.944 </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što je za 1.156.295</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manje od planiranog iznosa. Vlastiti prihodi sastoje se od prihoda ostvarenih provedbom kliničkih ispitivanja, prihoda od pruženih usluga pravnim i fizičkim osobama koje same plaćaju zdravstvene usluge te drugim suradnim ustanovama, prihoda od zakupa poslovnog prostora, seminara, tečajeva te prihoda od najma apartmana. Navedenim sredstvima podmirivani su najviše troškovi intelektualnih i osobnih usluga te naknade za rad na kliničkim ispitivanjima u iznosu od 3.479.540,89</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(62,4% od ukupno utrošenih vlastitih prihoda), premija osiguranja u iznosu od 633.052,41</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(11,4% ukupno utrošenih vlastitih prihoda), troškovi pristojbi i naknada u iznosu od 468.693 eura (8,4% ukupno utrošenih vlastitih prihoda) te otplata glavnice primljenih kredita u iznosu od 232.038,40</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(4,1% ukupno utrošenih vlastitih prihoda). Ostali rashodi koji su financirani iz vlastitih prihoda odnose se na službena putovanja i stručno usavršavanje zaposlenika, naknade troškova osobama izvan radnog odnosa, ostale naknade građanima i kućanstvima, troškove sudskih postupaka i ostale naknade šteta.</w:t>
      </w:r>
    </w:p>
    <w:p w14:paraId="3D67842A" w14:textId="77777777" w:rsidR="00E051CA" w:rsidRPr="00E051CA" w:rsidRDefault="00E051CA" w:rsidP="00E051CA">
      <w:pPr>
        <w:spacing w:after="0" w:line="240" w:lineRule="auto"/>
        <w:jc w:val="both"/>
        <w:rPr>
          <w:rFonts w:ascii="Times New Roman" w:eastAsia="Times New Roman" w:hAnsi="Times New Roman" w:cs="Times New Roman"/>
          <w:sz w:val="24"/>
          <w:szCs w:val="24"/>
          <w:lang w:eastAsia="hr-HR"/>
        </w:rPr>
      </w:pPr>
      <w:r w:rsidRPr="00E051CA">
        <w:rPr>
          <w:rFonts w:ascii="Times New Roman" w:eastAsia="Times New Roman" w:hAnsi="Times New Roman" w:cs="Times New Roman"/>
          <w:noProof/>
          <w:sz w:val="24"/>
          <w:szCs w:val="24"/>
        </w:rPr>
        <w:t>Iz ostalih prihoda za posebne namjene (izvor 43) utrošeno je 442.923.625</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što je za 26.357.889</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 xml:space="preserve">eura više od planiranog iznosa. Ovi prihodi se najvećim dijelom ostvaruju kao prihod Hrvatskog zavoda za zdravstveno osiguranje </w:t>
      </w:r>
      <w:r w:rsidRPr="00E051CA">
        <w:rPr>
          <w:rFonts w:ascii="Times New Roman" w:eastAsia="Times New Roman" w:hAnsi="Times New Roman" w:cs="Times New Roman"/>
          <w:noProof/>
          <w:color w:val="000000"/>
          <w:sz w:val="24"/>
          <w:szCs w:val="24"/>
        </w:rPr>
        <w:t>za financiranje redovne djelatnosti na temelju ugovornih odnosa</w:t>
      </w:r>
      <w:r w:rsidRPr="00E051CA">
        <w:rPr>
          <w:rFonts w:ascii="Times New Roman" w:eastAsia="Times New Roman" w:hAnsi="Times New Roman" w:cs="Times New Roman"/>
          <w:noProof/>
          <w:sz w:val="24"/>
          <w:szCs w:val="24"/>
        </w:rPr>
        <w:t xml:space="preserve"> te prihod od dopunskog zdravstvenog osiguranja (HZZO i privatni osiguravatelji) i participacija. Navedenim sredstvima podmirivani su najviše troškovi za lijekove i medicinski potrošni materijal u iznosu od 234.372.332</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(52,9% od ukupno utrošenih ostalih prihoda za posebne namjene), izdaci za plaće i ostala materijalna prava za 6.011 zaposlenika u iznosu od 179.171.011</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(40,5% od ukupno utrošenih ostalih prihoda za posebne namjene), usluge tekućeg i investicijskog održavanja u iznosu od 11.105.579</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(2,5% od ukupno utrošenih ostalih prihoda za posebne namjene) te rashodi za energiju u iznosu od 4.599.509</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(1% od ukupno utrošenih ostalih prihoda za posebne namjene). Ostali rashodi koji su financirani iz ostalih prihoda za posebne namjene odnose se na komunalne usluge, zakupnine i najamnine, zdravstvene i veterinarske usluge, računalne usluge te ostale usluge.</w:t>
      </w:r>
    </w:p>
    <w:p w14:paraId="47461E31" w14:textId="77777777" w:rsidR="00E051CA" w:rsidRPr="00E051CA" w:rsidRDefault="00E051CA" w:rsidP="00E051CA">
      <w:pPr>
        <w:spacing w:after="0" w:line="240" w:lineRule="auto"/>
        <w:jc w:val="both"/>
        <w:rPr>
          <w:rFonts w:ascii="Times New Roman" w:eastAsia="Times New Roman" w:hAnsi="Times New Roman" w:cs="Times New Roman"/>
          <w:sz w:val="24"/>
          <w:szCs w:val="24"/>
          <w:lang w:eastAsia="hr-HR"/>
        </w:rPr>
      </w:pPr>
      <w:r w:rsidRPr="00E051CA">
        <w:rPr>
          <w:rFonts w:ascii="Times New Roman" w:eastAsia="Times New Roman" w:hAnsi="Times New Roman" w:cs="Times New Roman"/>
          <w:noProof/>
          <w:sz w:val="24"/>
          <w:szCs w:val="24"/>
        </w:rPr>
        <w:t>Iz ostalih pomoći (izvor 52) utrošeno je 32.144.147</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što je za 30.241.648</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više od planiranog iznosa. Temeljem primljenih sredstava od HZZO-a sukladno Odlukama Vlade Republike Hrvatske o isplati namjenske pomoći za podmirivanje dijela dospjelih obveza bolničkih zdravstvenih ustanova utrošeno je 30.646.585 eura. Za trošak plaća pripravnika za što su sredstva primljena od Hrvatskog zavoda za zapošljavanje, a prema Ugovorima o dodjeli državne potpore za sufinanciranje zapošljavanja za stjecanje prvog radnog iskustva/pripravništva utrošeno je 650.102</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Temeljem primljenih sredstava od HZZO-a na ime Covid dodatka u plaći, za radnike u sustavu zdravstva koji obavljaju poslove vezane za pružanje zdravstvene skrbi pacijentima oboljelima od bolesti COVID-19 (Odluka Vlade RH - NN 136/2020), utrošeno je 812.080</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 xml:space="preserve">eura. </w:t>
      </w:r>
    </w:p>
    <w:p w14:paraId="68011CF5" w14:textId="77777777" w:rsidR="00E051CA" w:rsidRPr="00E051CA" w:rsidRDefault="00E051CA" w:rsidP="00E051CA">
      <w:pPr>
        <w:spacing w:after="0" w:line="240" w:lineRule="auto"/>
        <w:jc w:val="both"/>
        <w:rPr>
          <w:rFonts w:ascii="Times New Roman" w:eastAsia="Times New Roman" w:hAnsi="Times New Roman" w:cs="Times New Roman"/>
          <w:sz w:val="24"/>
          <w:szCs w:val="24"/>
          <w:lang w:eastAsia="hr-HR"/>
        </w:rPr>
      </w:pPr>
      <w:r w:rsidRPr="00E051CA">
        <w:rPr>
          <w:rFonts w:ascii="Times New Roman" w:eastAsia="Times New Roman" w:hAnsi="Times New Roman" w:cs="Times New Roman"/>
          <w:noProof/>
          <w:sz w:val="24"/>
          <w:szCs w:val="24"/>
        </w:rPr>
        <w:t>Iz donacija (izvor 61) utrošeno je 114.624</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što je za 126.268 eura manje od planiranog iznosa. Donirana sredstva utrošena su za podmirenje rashoda za materijal i sirovine (lijekovi mpm) u iznosu od 77.262 eura, za kotizacije, stručna usavršavanja i školarine zaposlenika u iznosu od 35.857</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te za članarine u iznosu od 1.505 eura.</w:t>
      </w:r>
    </w:p>
    <w:p w14:paraId="0DC0D712" w14:textId="77777777" w:rsidR="00E051CA" w:rsidRPr="00E051CA" w:rsidRDefault="00E051CA" w:rsidP="00E051CA">
      <w:pPr>
        <w:spacing w:after="0" w:line="240" w:lineRule="auto"/>
        <w:jc w:val="both"/>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U strukturi rashoda navedene aktivnosti najveći udio se odnosi na materijalne rashode koji iznose 339.018.793</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odnosno čine 65,7% ukupno izvršenih rashoda, a najvećim se dijelom odnose na lijekove i medicinski potrošni materijal. Rashodi za zaposlene izvršeni su u iznosu od 176.241.163</w:t>
      </w:r>
      <w:r w:rsidRPr="00E051CA">
        <w:rPr>
          <w:rFonts w:ascii="Times New Roman" w:eastAsia="Times New Roman" w:hAnsi="Times New Roman" w:cs="Times New Roman"/>
          <w:sz w:val="24"/>
          <w:szCs w:val="24"/>
          <w:lang w:eastAsia="hr-HR"/>
        </w:rPr>
        <w:t xml:space="preserve"> </w:t>
      </w:r>
      <w:r w:rsidRPr="00E051CA">
        <w:rPr>
          <w:rFonts w:ascii="Times New Roman" w:eastAsia="Times New Roman" w:hAnsi="Times New Roman" w:cs="Times New Roman"/>
          <w:noProof/>
          <w:sz w:val="24"/>
          <w:szCs w:val="24"/>
        </w:rPr>
        <w:t>eura što predstavlja 34,1% ukupno izvršenih rashoda na ovoj aktivnosti. Preostalih 0,2% utrošenih rashoda na navedenoj aktivnosti odnose se na financijske rashode, naknade građanima i kućanstvima, ostale rashode te rashode za ulaganja u medicinsku opremu i otplatu glavnice primljenih kredita.</w:t>
      </w:r>
    </w:p>
    <w:p w14:paraId="3A078EE1" w14:textId="77777777" w:rsidR="00E051CA" w:rsidRPr="00E051CA" w:rsidRDefault="00E051CA" w:rsidP="00E051CA">
      <w:pPr>
        <w:spacing w:after="0" w:line="240" w:lineRule="auto"/>
        <w:jc w:val="both"/>
        <w:rPr>
          <w:rFonts w:ascii="Times New Roman" w:eastAsia="Times New Roman" w:hAnsi="Times New Roman" w:cs="Times New Roman"/>
          <w:sz w:val="24"/>
          <w:szCs w:val="24"/>
          <w:lang w:eastAsia="hr-HR"/>
        </w:rPr>
      </w:pPr>
    </w:p>
    <w:p w14:paraId="1FAE8F46" w14:textId="77777777" w:rsidR="00E051CA" w:rsidRPr="00E051CA" w:rsidRDefault="00E051CA" w:rsidP="00E051C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lastRenderedPageBreak/>
        <w:t>Pokazatelji rezultata</w:t>
      </w:r>
    </w:p>
    <w:tbl>
      <w:tblPr>
        <w:tblStyle w:val="StilTablice1"/>
        <w:tblW w:w="9212" w:type="dxa"/>
        <w:jc w:val="center"/>
        <w:tblLook w:val="04A0" w:firstRow="1" w:lastRow="0" w:firstColumn="1" w:lastColumn="0" w:noHBand="0" w:noVBand="1"/>
      </w:tblPr>
      <w:tblGrid>
        <w:gridCol w:w="2154"/>
        <w:gridCol w:w="2159"/>
        <w:gridCol w:w="911"/>
        <w:gridCol w:w="994"/>
        <w:gridCol w:w="994"/>
        <w:gridCol w:w="994"/>
        <w:gridCol w:w="1006"/>
      </w:tblGrid>
      <w:tr w:rsidR="00E051CA" w:rsidRPr="00E051CA" w14:paraId="2ECC8B22" w14:textId="77777777" w:rsidTr="001F4070">
        <w:trPr>
          <w:jc w:val="center"/>
        </w:trPr>
        <w:tc>
          <w:tcPr>
            <w:tcW w:w="2154" w:type="dxa"/>
            <w:shd w:val="clear" w:color="auto" w:fill="B5C0D8"/>
          </w:tcPr>
          <w:p w14:paraId="06BB281B"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Pokazatelj rezultata</w:t>
            </w:r>
          </w:p>
        </w:tc>
        <w:tc>
          <w:tcPr>
            <w:tcW w:w="2159" w:type="dxa"/>
            <w:shd w:val="clear" w:color="auto" w:fill="B5C0D8"/>
          </w:tcPr>
          <w:p w14:paraId="54FE45B6"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Definicija</w:t>
            </w:r>
          </w:p>
        </w:tc>
        <w:tc>
          <w:tcPr>
            <w:tcW w:w="911" w:type="dxa"/>
            <w:shd w:val="clear" w:color="auto" w:fill="B5C0D8"/>
          </w:tcPr>
          <w:p w14:paraId="39C52FE8"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Jedinica</w:t>
            </w:r>
          </w:p>
        </w:tc>
        <w:tc>
          <w:tcPr>
            <w:tcW w:w="994" w:type="dxa"/>
            <w:shd w:val="clear" w:color="auto" w:fill="B5C0D8"/>
          </w:tcPr>
          <w:p w14:paraId="5CCBBA7C"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Polazna vrijednost</w:t>
            </w:r>
          </w:p>
        </w:tc>
        <w:tc>
          <w:tcPr>
            <w:tcW w:w="994" w:type="dxa"/>
            <w:shd w:val="clear" w:color="auto" w:fill="B5C0D8"/>
          </w:tcPr>
          <w:p w14:paraId="0EBE13C5"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Izvor podataka</w:t>
            </w:r>
          </w:p>
        </w:tc>
        <w:tc>
          <w:tcPr>
            <w:tcW w:w="994" w:type="dxa"/>
            <w:shd w:val="clear" w:color="auto" w:fill="B5C0D8"/>
          </w:tcPr>
          <w:p w14:paraId="2D09358C"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Ciljana vrijednost (2023.)</w:t>
            </w:r>
          </w:p>
        </w:tc>
        <w:tc>
          <w:tcPr>
            <w:tcW w:w="1006" w:type="dxa"/>
            <w:shd w:val="clear" w:color="auto" w:fill="B5C0D8"/>
          </w:tcPr>
          <w:p w14:paraId="5558128D"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highlight w:val="yellow"/>
                <w:lang w:eastAsia="hr-HR"/>
              </w:rPr>
            </w:pPr>
            <w:r w:rsidRPr="00E051CA">
              <w:rPr>
                <w:rFonts w:eastAsia="Times New Roman" w:cs="Times New Roman"/>
                <w:bCs/>
                <w:noProof/>
                <w:sz w:val="22"/>
                <w:szCs w:val="24"/>
                <w:lang w:eastAsia="hr-HR"/>
              </w:rPr>
              <w:t>Ostvarena vrijednost (2023.)</w:t>
            </w:r>
          </w:p>
        </w:tc>
      </w:tr>
      <w:tr w:rsidR="00E051CA" w:rsidRPr="00E051CA" w14:paraId="6C49CF54" w14:textId="77777777" w:rsidTr="001F4070">
        <w:trPr>
          <w:jc w:val="center"/>
        </w:trPr>
        <w:tc>
          <w:tcPr>
            <w:tcW w:w="2154" w:type="dxa"/>
            <w:vAlign w:val="top"/>
          </w:tcPr>
          <w:p w14:paraId="78025E01" w14:textId="77777777" w:rsidR="00E051CA" w:rsidRPr="00E051CA" w:rsidRDefault="00E051CA" w:rsidP="00682827">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Povećanje case-mix indeksa</w:t>
            </w:r>
          </w:p>
        </w:tc>
        <w:tc>
          <w:tcPr>
            <w:tcW w:w="2159" w:type="dxa"/>
            <w:vAlign w:val="top"/>
          </w:tcPr>
          <w:p w14:paraId="0DDD5795" w14:textId="77777777" w:rsidR="00E051CA" w:rsidRPr="00E051CA" w:rsidRDefault="00E051CA" w:rsidP="00682827">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Prosječan DTS koeficijent po slučaju</w:t>
            </w:r>
          </w:p>
        </w:tc>
        <w:tc>
          <w:tcPr>
            <w:tcW w:w="911" w:type="dxa"/>
          </w:tcPr>
          <w:p w14:paraId="7F75B57C"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Broj</w:t>
            </w:r>
          </w:p>
        </w:tc>
        <w:tc>
          <w:tcPr>
            <w:tcW w:w="994" w:type="dxa"/>
          </w:tcPr>
          <w:p w14:paraId="61C04563"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1,47</w:t>
            </w:r>
          </w:p>
        </w:tc>
        <w:tc>
          <w:tcPr>
            <w:tcW w:w="994" w:type="dxa"/>
          </w:tcPr>
          <w:p w14:paraId="2832E42C"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KBC ZAGREB</w:t>
            </w:r>
          </w:p>
        </w:tc>
        <w:tc>
          <w:tcPr>
            <w:tcW w:w="994" w:type="dxa"/>
          </w:tcPr>
          <w:p w14:paraId="43683377"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&gt;1,49</w:t>
            </w:r>
          </w:p>
        </w:tc>
        <w:tc>
          <w:tcPr>
            <w:tcW w:w="1006" w:type="dxa"/>
            <w:tcBorders>
              <w:top w:val="nil"/>
              <w:left w:val="nil"/>
              <w:bottom w:val="single" w:sz="8" w:space="0" w:color="000000"/>
              <w:right w:val="single" w:sz="8" w:space="0" w:color="000000"/>
            </w:tcBorders>
            <w:shd w:val="clear" w:color="auto" w:fill="FFFFFF"/>
          </w:tcPr>
          <w:p w14:paraId="0F8B4103" w14:textId="77777777" w:rsidR="00E051CA" w:rsidRPr="00E051CA" w:rsidRDefault="00E051CA" w:rsidP="00E051CA">
            <w:pPr>
              <w:overflowPunct w:val="0"/>
              <w:autoSpaceDE w:val="0"/>
              <w:autoSpaceDN w:val="0"/>
              <w:adjustRightInd w:val="0"/>
              <w:textAlignment w:val="baseline"/>
              <w:rPr>
                <w:rFonts w:eastAsia="Times New Roman" w:cs="Times New Roman"/>
                <w:color w:val="000000"/>
                <w:sz w:val="22"/>
                <w:szCs w:val="24"/>
              </w:rPr>
            </w:pPr>
            <w:r w:rsidRPr="00E051CA">
              <w:rPr>
                <w:rFonts w:eastAsia="Times New Roman" w:cs="Times New Roman"/>
                <w:noProof/>
                <w:color w:val="000000"/>
                <w:sz w:val="22"/>
                <w:szCs w:val="24"/>
              </w:rPr>
              <w:t>1,53</w:t>
            </w:r>
          </w:p>
        </w:tc>
      </w:tr>
      <w:tr w:rsidR="00E051CA" w:rsidRPr="00E051CA" w14:paraId="3DEAA8E6" w14:textId="77777777" w:rsidTr="001F4070">
        <w:trPr>
          <w:jc w:val="center"/>
        </w:trPr>
        <w:tc>
          <w:tcPr>
            <w:tcW w:w="2154" w:type="dxa"/>
            <w:vAlign w:val="top"/>
          </w:tcPr>
          <w:p w14:paraId="66A3AF0B" w14:textId="77777777" w:rsidR="00E051CA" w:rsidRPr="00E051CA" w:rsidRDefault="00E051CA" w:rsidP="00682827">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Smanjenje prosječnog broja dana ležanja</w:t>
            </w:r>
          </w:p>
        </w:tc>
        <w:tc>
          <w:tcPr>
            <w:tcW w:w="2159" w:type="dxa"/>
            <w:vAlign w:val="top"/>
          </w:tcPr>
          <w:p w14:paraId="307F17A2" w14:textId="77777777" w:rsidR="00E051CA" w:rsidRPr="00E051CA" w:rsidRDefault="00E051CA" w:rsidP="00682827">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Prosječan broj dana ležanja</w:t>
            </w:r>
          </w:p>
        </w:tc>
        <w:tc>
          <w:tcPr>
            <w:tcW w:w="911" w:type="dxa"/>
          </w:tcPr>
          <w:p w14:paraId="16BA6524"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Broj</w:t>
            </w:r>
          </w:p>
        </w:tc>
        <w:tc>
          <w:tcPr>
            <w:tcW w:w="994" w:type="dxa"/>
          </w:tcPr>
          <w:p w14:paraId="07C6CDE7"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6,76</w:t>
            </w:r>
          </w:p>
        </w:tc>
        <w:tc>
          <w:tcPr>
            <w:tcW w:w="994" w:type="dxa"/>
          </w:tcPr>
          <w:p w14:paraId="70D5D6C1"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KBC ZAGREB</w:t>
            </w:r>
          </w:p>
        </w:tc>
        <w:tc>
          <w:tcPr>
            <w:tcW w:w="994" w:type="dxa"/>
          </w:tcPr>
          <w:p w14:paraId="569CA106"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6,65</w:t>
            </w:r>
          </w:p>
        </w:tc>
        <w:tc>
          <w:tcPr>
            <w:tcW w:w="1006" w:type="dxa"/>
            <w:tcBorders>
              <w:top w:val="nil"/>
              <w:left w:val="nil"/>
              <w:bottom w:val="single" w:sz="8" w:space="0" w:color="000000"/>
              <w:right w:val="single" w:sz="8" w:space="0" w:color="000000"/>
            </w:tcBorders>
            <w:shd w:val="clear" w:color="auto" w:fill="FFFFFF"/>
          </w:tcPr>
          <w:p w14:paraId="51DA4735" w14:textId="77777777" w:rsidR="00E051CA" w:rsidRPr="00E051CA" w:rsidRDefault="00E051CA" w:rsidP="00E051CA">
            <w:pPr>
              <w:overflowPunct w:val="0"/>
              <w:autoSpaceDE w:val="0"/>
              <w:autoSpaceDN w:val="0"/>
              <w:adjustRightInd w:val="0"/>
              <w:textAlignment w:val="baseline"/>
              <w:rPr>
                <w:rFonts w:eastAsia="Times New Roman" w:cs="Times New Roman"/>
                <w:noProof/>
                <w:color w:val="000000"/>
                <w:sz w:val="22"/>
                <w:szCs w:val="24"/>
              </w:rPr>
            </w:pPr>
            <w:r w:rsidRPr="00E051CA">
              <w:rPr>
                <w:rFonts w:eastAsia="Times New Roman" w:cs="Times New Roman"/>
                <w:noProof/>
                <w:color w:val="000000"/>
                <w:sz w:val="22"/>
                <w:szCs w:val="24"/>
              </w:rPr>
              <w:t>6,2</w:t>
            </w:r>
          </w:p>
        </w:tc>
      </w:tr>
      <w:tr w:rsidR="00E051CA" w:rsidRPr="00E051CA" w14:paraId="46A4B8C6" w14:textId="77777777" w:rsidTr="001F4070">
        <w:trPr>
          <w:jc w:val="center"/>
        </w:trPr>
        <w:tc>
          <w:tcPr>
            <w:tcW w:w="2154" w:type="dxa"/>
            <w:vAlign w:val="top"/>
          </w:tcPr>
          <w:p w14:paraId="6E5E67ED" w14:textId="77777777" w:rsidR="00E051CA" w:rsidRPr="00E051CA" w:rsidRDefault="00E051CA" w:rsidP="00682827">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Povećanje broja obrađenih pacijenata u DNB i JK</w:t>
            </w:r>
          </w:p>
        </w:tc>
        <w:tc>
          <w:tcPr>
            <w:tcW w:w="2159" w:type="dxa"/>
            <w:vAlign w:val="top"/>
          </w:tcPr>
          <w:p w14:paraId="36C5F046" w14:textId="77777777" w:rsidR="00E051CA" w:rsidRPr="00E051CA" w:rsidRDefault="00E051CA" w:rsidP="00682827">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Broj prijema u DNB i JK</w:t>
            </w:r>
          </w:p>
        </w:tc>
        <w:tc>
          <w:tcPr>
            <w:tcW w:w="911" w:type="dxa"/>
          </w:tcPr>
          <w:p w14:paraId="629F8CF6"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Broj</w:t>
            </w:r>
          </w:p>
        </w:tc>
        <w:tc>
          <w:tcPr>
            <w:tcW w:w="994" w:type="dxa"/>
          </w:tcPr>
          <w:p w14:paraId="1DEFA9E9" w14:textId="77777777" w:rsidR="00E051CA" w:rsidRPr="00E051CA" w:rsidRDefault="00E051CA" w:rsidP="00E051CA">
            <w:pPr>
              <w:overflowPunct w:val="0"/>
              <w:autoSpaceDE w:val="0"/>
              <w:autoSpaceDN w:val="0"/>
              <w:adjustRightInd w:val="0"/>
              <w:textAlignment w:val="baseline"/>
              <w:rPr>
                <w:rFonts w:eastAsia="Times New Roman" w:cs="Times New Roman"/>
                <w:noProof/>
                <w:color w:val="000000"/>
                <w:sz w:val="22"/>
                <w:szCs w:val="24"/>
              </w:rPr>
            </w:pPr>
            <w:r w:rsidRPr="00E051CA">
              <w:rPr>
                <w:rFonts w:eastAsia="Times New Roman" w:cs="Times New Roman"/>
                <w:noProof/>
                <w:color w:val="000000"/>
                <w:sz w:val="22"/>
                <w:szCs w:val="24"/>
              </w:rPr>
              <w:t>116.091</w:t>
            </w:r>
          </w:p>
        </w:tc>
        <w:tc>
          <w:tcPr>
            <w:tcW w:w="994" w:type="dxa"/>
          </w:tcPr>
          <w:p w14:paraId="0E5622BE"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KBC ZAGREB</w:t>
            </w:r>
          </w:p>
        </w:tc>
        <w:tc>
          <w:tcPr>
            <w:tcW w:w="994" w:type="dxa"/>
          </w:tcPr>
          <w:p w14:paraId="197F975C" w14:textId="77777777" w:rsidR="00E051CA" w:rsidRPr="00E051CA" w:rsidRDefault="00E051CA" w:rsidP="00E051CA">
            <w:pPr>
              <w:overflowPunct w:val="0"/>
              <w:autoSpaceDE w:val="0"/>
              <w:autoSpaceDN w:val="0"/>
              <w:adjustRightInd w:val="0"/>
              <w:textAlignment w:val="baseline"/>
              <w:rPr>
                <w:rFonts w:eastAsia="Times New Roman" w:cs="Times New Roman"/>
                <w:noProof/>
                <w:color w:val="000000"/>
                <w:sz w:val="22"/>
                <w:szCs w:val="24"/>
              </w:rPr>
            </w:pPr>
            <w:r w:rsidRPr="00E051CA">
              <w:rPr>
                <w:rFonts w:eastAsia="Times New Roman" w:cs="Times New Roman"/>
                <w:noProof/>
                <w:color w:val="000000"/>
                <w:sz w:val="22"/>
                <w:szCs w:val="24"/>
              </w:rPr>
              <w:t>130.000</w:t>
            </w:r>
          </w:p>
        </w:tc>
        <w:tc>
          <w:tcPr>
            <w:tcW w:w="1006" w:type="dxa"/>
            <w:tcBorders>
              <w:top w:val="nil"/>
              <w:left w:val="nil"/>
              <w:bottom w:val="single" w:sz="8" w:space="0" w:color="000000"/>
              <w:right w:val="single" w:sz="8" w:space="0" w:color="000000"/>
            </w:tcBorders>
            <w:shd w:val="clear" w:color="auto" w:fill="FFFFFF"/>
          </w:tcPr>
          <w:p w14:paraId="4EDE7113" w14:textId="77777777" w:rsidR="00E051CA" w:rsidRPr="00E051CA" w:rsidRDefault="00E051CA" w:rsidP="00E051CA">
            <w:pPr>
              <w:overflowPunct w:val="0"/>
              <w:autoSpaceDE w:val="0"/>
              <w:autoSpaceDN w:val="0"/>
              <w:adjustRightInd w:val="0"/>
              <w:textAlignment w:val="baseline"/>
              <w:rPr>
                <w:rFonts w:eastAsia="Times New Roman" w:cs="Times New Roman"/>
                <w:noProof/>
                <w:color w:val="000000"/>
                <w:sz w:val="22"/>
                <w:szCs w:val="24"/>
              </w:rPr>
            </w:pPr>
            <w:r w:rsidRPr="00E051CA">
              <w:rPr>
                <w:rFonts w:eastAsia="Times New Roman" w:cs="Times New Roman"/>
                <w:noProof/>
                <w:color w:val="000000"/>
                <w:sz w:val="22"/>
                <w:szCs w:val="24"/>
              </w:rPr>
              <w:t>164.726</w:t>
            </w:r>
          </w:p>
        </w:tc>
      </w:tr>
      <w:tr w:rsidR="00E051CA" w:rsidRPr="00E051CA" w14:paraId="2EBE2FB8" w14:textId="77777777" w:rsidTr="001F4070">
        <w:trPr>
          <w:jc w:val="center"/>
        </w:trPr>
        <w:tc>
          <w:tcPr>
            <w:tcW w:w="2154" w:type="dxa"/>
            <w:vAlign w:val="top"/>
          </w:tcPr>
          <w:p w14:paraId="385159B9" w14:textId="77777777" w:rsidR="00E051CA" w:rsidRPr="00E051CA" w:rsidRDefault="00E051CA" w:rsidP="00682827">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Povećanje broja pacijenata liječenih u stacionaru</w:t>
            </w:r>
          </w:p>
        </w:tc>
        <w:tc>
          <w:tcPr>
            <w:tcW w:w="2159" w:type="dxa"/>
            <w:vAlign w:val="top"/>
          </w:tcPr>
          <w:p w14:paraId="23EBE739" w14:textId="77777777" w:rsidR="00E051CA" w:rsidRPr="00E051CA" w:rsidRDefault="00E051CA" w:rsidP="00682827">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Broj izdanih računa za stacionarne pacijente (epizoda liječenja)</w:t>
            </w:r>
          </w:p>
        </w:tc>
        <w:tc>
          <w:tcPr>
            <w:tcW w:w="911" w:type="dxa"/>
          </w:tcPr>
          <w:p w14:paraId="2C124775"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Broj</w:t>
            </w:r>
          </w:p>
        </w:tc>
        <w:tc>
          <w:tcPr>
            <w:tcW w:w="994" w:type="dxa"/>
          </w:tcPr>
          <w:p w14:paraId="544C0D7F" w14:textId="77777777" w:rsidR="00E051CA" w:rsidRPr="00E051CA" w:rsidRDefault="00E051CA" w:rsidP="00E051CA">
            <w:pPr>
              <w:overflowPunct w:val="0"/>
              <w:autoSpaceDE w:val="0"/>
              <w:autoSpaceDN w:val="0"/>
              <w:adjustRightInd w:val="0"/>
              <w:textAlignment w:val="baseline"/>
              <w:rPr>
                <w:rFonts w:eastAsia="Times New Roman" w:cs="Times New Roman"/>
                <w:noProof/>
                <w:color w:val="000000"/>
                <w:sz w:val="22"/>
                <w:szCs w:val="24"/>
              </w:rPr>
            </w:pPr>
            <w:r w:rsidRPr="00E051CA">
              <w:rPr>
                <w:rFonts w:eastAsia="Times New Roman" w:cs="Times New Roman"/>
                <w:noProof/>
                <w:color w:val="000000"/>
                <w:sz w:val="22"/>
                <w:szCs w:val="24"/>
              </w:rPr>
              <w:t>54.187</w:t>
            </w:r>
          </w:p>
        </w:tc>
        <w:tc>
          <w:tcPr>
            <w:tcW w:w="994" w:type="dxa"/>
          </w:tcPr>
          <w:p w14:paraId="04AEB19C"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KBC ZAGREB</w:t>
            </w:r>
          </w:p>
        </w:tc>
        <w:tc>
          <w:tcPr>
            <w:tcW w:w="994" w:type="dxa"/>
          </w:tcPr>
          <w:p w14:paraId="3CE05370" w14:textId="77777777" w:rsidR="00E051CA" w:rsidRPr="00E051CA" w:rsidRDefault="00E051CA" w:rsidP="00E051CA">
            <w:pPr>
              <w:overflowPunct w:val="0"/>
              <w:autoSpaceDE w:val="0"/>
              <w:autoSpaceDN w:val="0"/>
              <w:adjustRightInd w:val="0"/>
              <w:textAlignment w:val="baseline"/>
              <w:rPr>
                <w:rFonts w:eastAsia="Times New Roman" w:cs="Times New Roman"/>
                <w:noProof/>
                <w:color w:val="000000"/>
                <w:sz w:val="22"/>
                <w:szCs w:val="24"/>
              </w:rPr>
            </w:pPr>
            <w:r w:rsidRPr="00E051CA">
              <w:rPr>
                <w:rFonts w:eastAsia="Times New Roman" w:cs="Times New Roman"/>
                <w:noProof/>
                <w:color w:val="000000"/>
                <w:sz w:val="22"/>
                <w:szCs w:val="24"/>
              </w:rPr>
              <w:t>57.500</w:t>
            </w:r>
          </w:p>
        </w:tc>
        <w:tc>
          <w:tcPr>
            <w:tcW w:w="1006" w:type="dxa"/>
            <w:tcBorders>
              <w:top w:val="nil"/>
              <w:left w:val="nil"/>
              <w:bottom w:val="single" w:sz="8" w:space="0" w:color="000000"/>
              <w:right w:val="single" w:sz="8" w:space="0" w:color="000000"/>
            </w:tcBorders>
            <w:shd w:val="clear" w:color="auto" w:fill="FFFFFF"/>
          </w:tcPr>
          <w:p w14:paraId="04EDB826" w14:textId="77777777" w:rsidR="00E051CA" w:rsidRPr="00E051CA" w:rsidRDefault="00E051CA" w:rsidP="00E051CA">
            <w:pPr>
              <w:overflowPunct w:val="0"/>
              <w:autoSpaceDE w:val="0"/>
              <w:autoSpaceDN w:val="0"/>
              <w:adjustRightInd w:val="0"/>
              <w:textAlignment w:val="baseline"/>
              <w:rPr>
                <w:rFonts w:eastAsia="Times New Roman" w:cs="Times New Roman"/>
                <w:noProof/>
                <w:color w:val="000000"/>
                <w:sz w:val="22"/>
                <w:szCs w:val="24"/>
              </w:rPr>
            </w:pPr>
            <w:r w:rsidRPr="00E051CA">
              <w:rPr>
                <w:rFonts w:eastAsia="Times New Roman" w:cs="Times New Roman"/>
                <w:noProof/>
                <w:color w:val="000000"/>
                <w:sz w:val="22"/>
                <w:szCs w:val="24"/>
              </w:rPr>
              <w:t>56.733</w:t>
            </w:r>
          </w:p>
        </w:tc>
      </w:tr>
      <w:tr w:rsidR="00E051CA" w:rsidRPr="00E051CA" w14:paraId="2A5635C8" w14:textId="77777777" w:rsidTr="001F4070">
        <w:trPr>
          <w:jc w:val="center"/>
        </w:trPr>
        <w:tc>
          <w:tcPr>
            <w:tcW w:w="2154" w:type="dxa"/>
            <w:vAlign w:val="top"/>
          </w:tcPr>
          <w:p w14:paraId="51397C3C" w14:textId="77777777" w:rsidR="00E051CA" w:rsidRPr="00E051CA" w:rsidRDefault="00E051CA" w:rsidP="00682827">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Bolja popunjenost stacionarnih kreveta</w:t>
            </w:r>
          </w:p>
        </w:tc>
        <w:tc>
          <w:tcPr>
            <w:tcW w:w="2159" w:type="dxa"/>
            <w:vAlign w:val="top"/>
          </w:tcPr>
          <w:p w14:paraId="255FF432" w14:textId="77777777" w:rsidR="00E051CA" w:rsidRPr="00E051CA" w:rsidRDefault="00E051CA" w:rsidP="00682827">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Broj ostvarenih dana liječenja/broj mogućih dana u određenom periodu *100</w:t>
            </w:r>
          </w:p>
        </w:tc>
        <w:tc>
          <w:tcPr>
            <w:tcW w:w="911" w:type="dxa"/>
          </w:tcPr>
          <w:p w14:paraId="6D27F94E"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w:t>
            </w:r>
          </w:p>
        </w:tc>
        <w:tc>
          <w:tcPr>
            <w:tcW w:w="994" w:type="dxa"/>
          </w:tcPr>
          <w:p w14:paraId="319408B1" w14:textId="77777777" w:rsidR="00E051CA" w:rsidRPr="00E051CA" w:rsidRDefault="00E051CA" w:rsidP="00E051CA">
            <w:pPr>
              <w:overflowPunct w:val="0"/>
              <w:autoSpaceDE w:val="0"/>
              <w:autoSpaceDN w:val="0"/>
              <w:adjustRightInd w:val="0"/>
              <w:textAlignment w:val="baseline"/>
              <w:rPr>
                <w:rFonts w:eastAsia="Times New Roman" w:cs="Times New Roman"/>
                <w:noProof/>
                <w:color w:val="000000"/>
                <w:sz w:val="22"/>
                <w:szCs w:val="24"/>
              </w:rPr>
            </w:pPr>
            <w:r w:rsidRPr="00E051CA">
              <w:rPr>
                <w:rFonts w:eastAsia="Times New Roman" w:cs="Times New Roman"/>
                <w:noProof/>
                <w:color w:val="000000"/>
                <w:sz w:val="22"/>
                <w:szCs w:val="24"/>
              </w:rPr>
              <w:t>66,5</w:t>
            </w:r>
          </w:p>
        </w:tc>
        <w:tc>
          <w:tcPr>
            <w:tcW w:w="994" w:type="dxa"/>
          </w:tcPr>
          <w:p w14:paraId="171E42BF"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KBC ZAGREB</w:t>
            </w:r>
          </w:p>
        </w:tc>
        <w:tc>
          <w:tcPr>
            <w:tcW w:w="994" w:type="dxa"/>
          </w:tcPr>
          <w:p w14:paraId="7EF3680F" w14:textId="77777777" w:rsidR="00E051CA" w:rsidRPr="00E051CA" w:rsidRDefault="00E051CA" w:rsidP="00E051CA">
            <w:pPr>
              <w:overflowPunct w:val="0"/>
              <w:autoSpaceDE w:val="0"/>
              <w:autoSpaceDN w:val="0"/>
              <w:adjustRightInd w:val="0"/>
              <w:textAlignment w:val="baseline"/>
              <w:rPr>
                <w:rFonts w:eastAsia="Times New Roman" w:cs="Times New Roman"/>
                <w:noProof/>
                <w:color w:val="000000"/>
                <w:sz w:val="22"/>
                <w:szCs w:val="24"/>
              </w:rPr>
            </w:pPr>
            <w:r w:rsidRPr="00E051CA">
              <w:rPr>
                <w:rFonts w:eastAsia="Times New Roman" w:cs="Times New Roman"/>
                <w:noProof/>
                <w:color w:val="000000"/>
                <w:sz w:val="22"/>
                <w:szCs w:val="24"/>
              </w:rPr>
              <w:t>68</w:t>
            </w:r>
          </w:p>
        </w:tc>
        <w:tc>
          <w:tcPr>
            <w:tcW w:w="1006" w:type="dxa"/>
            <w:tcBorders>
              <w:top w:val="nil"/>
              <w:left w:val="nil"/>
              <w:bottom w:val="single" w:sz="8" w:space="0" w:color="000000"/>
              <w:right w:val="single" w:sz="8" w:space="0" w:color="000000"/>
            </w:tcBorders>
            <w:shd w:val="clear" w:color="auto" w:fill="FFFFFF"/>
          </w:tcPr>
          <w:p w14:paraId="5AEBFD03" w14:textId="77777777" w:rsidR="00E051CA" w:rsidRPr="00E051CA" w:rsidRDefault="00E051CA" w:rsidP="00E051CA">
            <w:pPr>
              <w:overflowPunct w:val="0"/>
              <w:autoSpaceDE w:val="0"/>
              <w:autoSpaceDN w:val="0"/>
              <w:adjustRightInd w:val="0"/>
              <w:textAlignment w:val="baseline"/>
              <w:rPr>
                <w:rFonts w:eastAsia="Times New Roman" w:cs="Times New Roman"/>
                <w:noProof/>
                <w:color w:val="000000"/>
                <w:sz w:val="22"/>
                <w:szCs w:val="24"/>
              </w:rPr>
            </w:pPr>
            <w:r w:rsidRPr="00E051CA">
              <w:rPr>
                <w:rFonts w:eastAsia="Times New Roman" w:cs="Times New Roman"/>
                <w:noProof/>
                <w:color w:val="000000"/>
                <w:sz w:val="22"/>
                <w:szCs w:val="24"/>
              </w:rPr>
              <w:t>76,31</w:t>
            </w:r>
          </w:p>
        </w:tc>
      </w:tr>
    </w:tbl>
    <w:p w14:paraId="4859FD64"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color w:val="833C0B"/>
          <w:sz w:val="24"/>
          <w:szCs w:val="24"/>
        </w:rPr>
      </w:pPr>
    </w:p>
    <w:p w14:paraId="3F5AC6F6"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color w:val="833C0B"/>
          <w:sz w:val="24"/>
          <w:szCs w:val="24"/>
        </w:rPr>
      </w:pPr>
    </w:p>
    <w:p w14:paraId="188F98D9" w14:textId="77777777" w:rsidR="00E051CA" w:rsidRPr="00E051CA" w:rsidRDefault="00E051CA" w:rsidP="00E051CA">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noProof/>
          <w:sz w:val="24"/>
          <w:szCs w:val="24"/>
        </w:rPr>
      </w:pPr>
      <w:r w:rsidRPr="00E051CA">
        <w:rPr>
          <w:rFonts w:ascii="Times New Roman" w:eastAsia="Times New Roman" w:hAnsi="Times New Roman" w:cs="Times New Roman"/>
          <w:b/>
          <w:bCs/>
          <w:noProof/>
          <w:sz w:val="24"/>
          <w:szCs w:val="24"/>
        </w:rPr>
        <w:t>A891004 OBRADA UZORAKA TKIVA ZA ZAKLADU ANA RUKAVINA</w:t>
      </w:r>
    </w:p>
    <w:p w14:paraId="57E76943" w14:textId="77777777" w:rsidR="00E051CA" w:rsidRPr="00E051CA" w:rsidRDefault="00E051CA" w:rsidP="00E051C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t>Zakonske i druge pravne osnove</w:t>
      </w:r>
    </w:p>
    <w:p w14:paraId="63BE2487"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Zakon o zdravstvenoj zaštiti, Zakon o primjeni ljudskih tkiva i stanica, Pravilnik o uvjetima u pogledu prostora, stručnih radnika, medicinsko-tehničke opreme i sustava kvalitete za obavljanje djelatnosti prikupljanja, uzimanja, testiranja, obrade, očuvanja, pohrane i raspodjele ljudskih tkiva i stanica, Sporazum o pružanju usluga i načinu financiranja imunogenetskog testiranja dobrovoljnih darivatelja krvotvornih matičnih stanica za potrebe Hrvatskog registra dobrovoljnih darivatelja KMS između KBC Zagreb i Ministarstva zdravstva.</w:t>
      </w:r>
    </w:p>
    <w:p w14:paraId="108C2C2F"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p>
    <w:tbl>
      <w:tblPr>
        <w:tblStyle w:val="StilTablice1"/>
        <w:tblW w:w="9150" w:type="dxa"/>
        <w:jc w:val="center"/>
        <w:tblLook w:val="04A0" w:firstRow="1" w:lastRow="0" w:firstColumn="1" w:lastColumn="0" w:noHBand="0" w:noVBand="1"/>
      </w:tblPr>
      <w:tblGrid>
        <w:gridCol w:w="1450"/>
        <w:gridCol w:w="1540"/>
        <w:gridCol w:w="1540"/>
        <w:gridCol w:w="1540"/>
        <w:gridCol w:w="1540"/>
        <w:gridCol w:w="1540"/>
      </w:tblGrid>
      <w:tr w:rsidR="00E051CA" w:rsidRPr="00E051CA" w14:paraId="065FD5EF" w14:textId="77777777" w:rsidTr="001F4070">
        <w:trPr>
          <w:jc w:val="center"/>
        </w:trPr>
        <w:tc>
          <w:tcPr>
            <w:tcW w:w="1450" w:type="dxa"/>
            <w:shd w:val="clear" w:color="auto" w:fill="B5C0D8"/>
          </w:tcPr>
          <w:p w14:paraId="6C87B215"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Naziv aktivnosti</w:t>
            </w:r>
          </w:p>
        </w:tc>
        <w:tc>
          <w:tcPr>
            <w:tcW w:w="1540" w:type="dxa"/>
            <w:shd w:val="clear" w:color="auto" w:fill="B5C0D8"/>
          </w:tcPr>
          <w:p w14:paraId="2CC7B383"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Izvršenje 2022.</w:t>
            </w:r>
          </w:p>
        </w:tc>
        <w:tc>
          <w:tcPr>
            <w:tcW w:w="1540" w:type="dxa"/>
            <w:shd w:val="clear" w:color="auto" w:fill="B5C0D8"/>
          </w:tcPr>
          <w:p w14:paraId="043E6104"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Plan 2023.</w:t>
            </w:r>
          </w:p>
        </w:tc>
        <w:tc>
          <w:tcPr>
            <w:tcW w:w="1540" w:type="dxa"/>
            <w:shd w:val="clear" w:color="auto" w:fill="B5C0D8"/>
          </w:tcPr>
          <w:p w14:paraId="681C814F"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Izvršenje 2023.</w:t>
            </w:r>
          </w:p>
        </w:tc>
        <w:tc>
          <w:tcPr>
            <w:tcW w:w="1540" w:type="dxa"/>
            <w:shd w:val="clear" w:color="auto" w:fill="B5C0D8"/>
          </w:tcPr>
          <w:p w14:paraId="2899B002"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Indeks izvršenje 2023./plan 2023.</w:t>
            </w:r>
          </w:p>
        </w:tc>
        <w:tc>
          <w:tcPr>
            <w:tcW w:w="1540" w:type="dxa"/>
            <w:shd w:val="clear" w:color="auto" w:fill="B5C0D8"/>
          </w:tcPr>
          <w:p w14:paraId="2B01FD51"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Indeks izvršenje 2023./2022.</w:t>
            </w:r>
          </w:p>
        </w:tc>
      </w:tr>
      <w:tr w:rsidR="00E051CA" w:rsidRPr="00E051CA" w14:paraId="1283CBC0" w14:textId="77777777" w:rsidTr="001F4070">
        <w:trPr>
          <w:jc w:val="center"/>
        </w:trPr>
        <w:tc>
          <w:tcPr>
            <w:tcW w:w="1450" w:type="dxa"/>
            <w:vAlign w:val="top"/>
          </w:tcPr>
          <w:p w14:paraId="259EEC92" w14:textId="77777777" w:rsidR="00E051CA" w:rsidRPr="00E051CA" w:rsidRDefault="00E051CA" w:rsidP="00682827">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bCs/>
                <w:noProof/>
                <w:szCs w:val="24"/>
                <w:lang w:eastAsia="hr-HR"/>
              </w:rPr>
              <w:t>A891004-OBRADA UZORAKA TKIVA ZA ZAKLADU ANA RUKAVINA</w:t>
            </w:r>
          </w:p>
        </w:tc>
        <w:tc>
          <w:tcPr>
            <w:tcW w:w="1540" w:type="dxa"/>
            <w:vAlign w:val="top"/>
          </w:tcPr>
          <w:p w14:paraId="5CE66019"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197.999,77</w:t>
            </w:r>
          </w:p>
        </w:tc>
        <w:tc>
          <w:tcPr>
            <w:tcW w:w="1540" w:type="dxa"/>
            <w:vAlign w:val="top"/>
          </w:tcPr>
          <w:p w14:paraId="0D018EBB"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199.084</w:t>
            </w:r>
          </w:p>
        </w:tc>
        <w:tc>
          <w:tcPr>
            <w:tcW w:w="1540" w:type="dxa"/>
            <w:vAlign w:val="top"/>
          </w:tcPr>
          <w:p w14:paraId="0FCD41C7"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198.859,39</w:t>
            </w:r>
          </w:p>
        </w:tc>
        <w:tc>
          <w:tcPr>
            <w:tcW w:w="1540" w:type="dxa"/>
            <w:vAlign w:val="top"/>
          </w:tcPr>
          <w:p w14:paraId="5061185A"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99,9</w:t>
            </w:r>
          </w:p>
        </w:tc>
        <w:tc>
          <w:tcPr>
            <w:tcW w:w="1540" w:type="dxa"/>
            <w:vAlign w:val="top"/>
          </w:tcPr>
          <w:p w14:paraId="37F02337"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100,4</w:t>
            </w:r>
          </w:p>
        </w:tc>
      </w:tr>
    </w:tbl>
    <w:p w14:paraId="652C4543" w14:textId="77777777" w:rsidR="00E051CA" w:rsidRPr="00E051CA" w:rsidRDefault="00E051CA" w:rsidP="00E051CA">
      <w:pPr>
        <w:overflowPunct w:val="0"/>
        <w:autoSpaceDE w:val="0"/>
        <w:autoSpaceDN w:val="0"/>
        <w:adjustRightInd w:val="0"/>
        <w:spacing w:after="120" w:line="240" w:lineRule="auto"/>
        <w:textAlignment w:val="baseline"/>
        <w:rPr>
          <w:rFonts w:ascii="Times New Roman" w:eastAsia="Times New Roman" w:hAnsi="Times New Roman" w:cs="Times New Roman"/>
          <w:b/>
          <w:noProof/>
          <w:sz w:val="24"/>
          <w:szCs w:val="24"/>
        </w:rPr>
      </w:pPr>
    </w:p>
    <w:p w14:paraId="6E6A043D" w14:textId="77777777" w:rsidR="00E051CA" w:rsidRPr="00E051CA" w:rsidRDefault="00E051CA" w:rsidP="00E051CA">
      <w:pPr>
        <w:overflowPunct w:val="0"/>
        <w:autoSpaceDE w:val="0"/>
        <w:autoSpaceDN w:val="0"/>
        <w:adjustRightInd w:val="0"/>
        <w:spacing w:after="120" w:line="240" w:lineRule="auto"/>
        <w:textAlignment w:val="baseline"/>
        <w:rPr>
          <w:rFonts w:ascii="Times New Roman" w:eastAsia="Times New Roman" w:hAnsi="Times New Roman" w:cs="Times New Roman"/>
          <w:b/>
          <w:noProof/>
          <w:sz w:val="24"/>
          <w:szCs w:val="24"/>
        </w:rPr>
      </w:pPr>
    </w:p>
    <w:p w14:paraId="29A42817" w14:textId="77777777" w:rsidR="00E051CA" w:rsidRPr="00E051CA" w:rsidRDefault="00E051CA" w:rsidP="00E051CA">
      <w:pPr>
        <w:overflowPunct w:val="0"/>
        <w:autoSpaceDE w:val="0"/>
        <w:autoSpaceDN w:val="0"/>
        <w:adjustRightInd w:val="0"/>
        <w:spacing w:after="120" w:line="240" w:lineRule="auto"/>
        <w:textAlignment w:val="baseline"/>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lastRenderedPageBreak/>
        <w:t>Opis aktivnosti</w:t>
      </w:r>
    </w:p>
    <w:p w14:paraId="19A2CE34"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U 2023. godini iz aktivnosti A891004 - Obrada uzoraka tkiva za zakladu Ana Rukavina utrošeno je 198.859,39 eura iz općih prihoda i primitaka (izvor 11) koji se odnose na medicinski potrošni materijal.</w:t>
      </w:r>
    </w:p>
    <w:p w14:paraId="15CD5E2F"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U okviru ove aktivnosti planiraju se troškovi vezano za uslugu molekularne (DNA) tipizacije za potrebe dobrovoljnih darivatelja Registra krvotvornih matičnih stanica (RDDKMS).</w:t>
      </w:r>
    </w:p>
    <w:p w14:paraId="02A2FAE2" w14:textId="77777777" w:rsidR="00E051CA" w:rsidRPr="00E051CA" w:rsidRDefault="00E051CA" w:rsidP="00E051C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t>Pokazatelji rezultata</w:t>
      </w:r>
    </w:p>
    <w:tbl>
      <w:tblPr>
        <w:tblStyle w:val="StilTablice1"/>
        <w:tblW w:w="9212" w:type="dxa"/>
        <w:jc w:val="center"/>
        <w:tblLook w:val="04A0" w:firstRow="1" w:lastRow="0" w:firstColumn="1" w:lastColumn="0" w:noHBand="0" w:noVBand="1"/>
      </w:tblPr>
      <w:tblGrid>
        <w:gridCol w:w="1592"/>
        <w:gridCol w:w="2528"/>
        <w:gridCol w:w="871"/>
        <w:gridCol w:w="994"/>
        <w:gridCol w:w="1227"/>
        <w:gridCol w:w="994"/>
        <w:gridCol w:w="1006"/>
      </w:tblGrid>
      <w:tr w:rsidR="00E051CA" w:rsidRPr="00E051CA" w14:paraId="3E1E3521" w14:textId="77777777" w:rsidTr="001F4070">
        <w:trPr>
          <w:jc w:val="center"/>
        </w:trPr>
        <w:tc>
          <w:tcPr>
            <w:tcW w:w="2061" w:type="dxa"/>
            <w:shd w:val="clear" w:color="auto" w:fill="B5C0D8"/>
          </w:tcPr>
          <w:p w14:paraId="417F605B"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Pokazatelj rezultata</w:t>
            </w:r>
          </w:p>
        </w:tc>
        <w:tc>
          <w:tcPr>
            <w:tcW w:w="2027" w:type="dxa"/>
            <w:shd w:val="clear" w:color="auto" w:fill="B5C0D8"/>
          </w:tcPr>
          <w:p w14:paraId="4EA05C00"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Definicija</w:t>
            </w:r>
          </w:p>
        </w:tc>
        <w:tc>
          <w:tcPr>
            <w:tcW w:w="903" w:type="dxa"/>
            <w:shd w:val="clear" w:color="auto" w:fill="B5C0D8"/>
          </w:tcPr>
          <w:p w14:paraId="78F64DC7"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Jedinica</w:t>
            </w:r>
          </w:p>
        </w:tc>
        <w:tc>
          <w:tcPr>
            <w:tcW w:w="994" w:type="dxa"/>
            <w:shd w:val="clear" w:color="auto" w:fill="B5C0D8"/>
          </w:tcPr>
          <w:p w14:paraId="1C12CD12"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Polazna vrijednost</w:t>
            </w:r>
          </w:p>
        </w:tc>
        <w:tc>
          <w:tcPr>
            <w:tcW w:w="1227" w:type="dxa"/>
            <w:shd w:val="clear" w:color="auto" w:fill="B5C0D8"/>
          </w:tcPr>
          <w:p w14:paraId="1851F618"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Izvor podataka</w:t>
            </w:r>
          </w:p>
        </w:tc>
        <w:tc>
          <w:tcPr>
            <w:tcW w:w="994" w:type="dxa"/>
            <w:shd w:val="clear" w:color="auto" w:fill="B5C0D8"/>
          </w:tcPr>
          <w:p w14:paraId="1B5AC64C"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Ciljana vrijednost (2023.)</w:t>
            </w:r>
          </w:p>
        </w:tc>
        <w:tc>
          <w:tcPr>
            <w:tcW w:w="1006" w:type="dxa"/>
            <w:shd w:val="clear" w:color="auto" w:fill="B5C0D8"/>
          </w:tcPr>
          <w:p w14:paraId="04760158"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Ostvarena vrijednost (2023.)</w:t>
            </w:r>
          </w:p>
        </w:tc>
      </w:tr>
      <w:tr w:rsidR="00E051CA" w:rsidRPr="00E051CA" w14:paraId="5C47F0A5" w14:textId="77777777" w:rsidTr="001F4070">
        <w:trPr>
          <w:jc w:val="center"/>
        </w:trPr>
        <w:tc>
          <w:tcPr>
            <w:tcW w:w="2061" w:type="dxa"/>
            <w:vAlign w:val="top"/>
          </w:tcPr>
          <w:p w14:paraId="27E91A9E" w14:textId="77777777" w:rsidR="00E051CA" w:rsidRPr="00E051CA" w:rsidRDefault="00E051CA" w:rsidP="00566060">
            <w:pPr>
              <w:overflowPunct w:val="0"/>
              <w:autoSpaceDE w:val="0"/>
              <w:autoSpaceDN w:val="0"/>
              <w:adjustRightInd w:val="0"/>
              <w:jc w:val="left"/>
              <w:textAlignment w:val="baseline"/>
              <w:rPr>
                <w:rFonts w:eastAsia="Times New Roman" w:cs="Times New Roman"/>
                <w:noProof/>
                <w:sz w:val="22"/>
                <w:szCs w:val="24"/>
              </w:rPr>
            </w:pPr>
            <w:r w:rsidRPr="00E051CA">
              <w:rPr>
                <w:rFonts w:eastAsia="Times New Roman" w:cs="Times New Roman"/>
                <w:noProof/>
                <w:sz w:val="22"/>
                <w:szCs w:val="24"/>
              </w:rPr>
              <w:t>Broj HLA tipizacija – 6 lokusa po darivatelju (HLA-A,B, C, DRB1, DQB1, DPB1)</w:t>
            </w:r>
          </w:p>
        </w:tc>
        <w:tc>
          <w:tcPr>
            <w:tcW w:w="2027" w:type="dxa"/>
            <w:vAlign w:val="top"/>
          </w:tcPr>
          <w:p w14:paraId="34AEDAE4" w14:textId="77777777" w:rsidR="00E051CA" w:rsidRPr="00E051CA" w:rsidRDefault="00E051CA" w:rsidP="00566060">
            <w:pPr>
              <w:overflowPunct w:val="0"/>
              <w:autoSpaceDE w:val="0"/>
              <w:autoSpaceDN w:val="0"/>
              <w:adjustRightInd w:val="0"/>
              <w:jc w:val="left"/>
              <w:textAlignment w:val="baseline"/>
              <w:rPr>
                <w:rFonts w:eastAsia="Times New Roman" w:cs="Times New Roman"/>
                <w:noProof/>
                <w:sz w:val="22"/>
                <w:szCs w:val="24"/>
              </w:rPr>
            </w:pPr>
            <w:r w:rsidRPr="00E051CA">
              <w:rPr>
                <w:rFonts w:eastAsia="Times New Roman" w:cs="Times New Roman"/>
                <w:noProof/>
                <w:sz w:val="22"/>
                <w:szCs w:val="24"/>
              </w:rPr>
              <w:t>Od svakog potencijalnog darivatelja uzima se uzorak krvi za HLA tipizaciju na 6 lokusa – HLA-A,B, C, DRB1, DQB1, DPB1 koji su uvjet  za pretraživanje   HRDDKMS</w:t>
            </w:r>
          </w:p>
        </w:tc>
        <w:tc>
          <w:tcPr>
            <w:tcW w:w="903" w:type="dxa"/>
          </w:tcPr>
          <w:p w14:paraId="33103F36"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broj</w:t>
            </w:r>
          </w:p>
        </w:tc>
        <w:tc>
          <w:tcPr>
            <w:tcW w:w="994" w:type="dxa"/>
          </w:tcPr>
          <w:p w14:paraId="1155C10E"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0</w:t>
            </w:r>
          </w:p>
        </w:tc>
        <w:tc>
          <w:tcPr>
            <w:tcW w:w="1227" w:type="dxa"/>
          </w:tcPr>
          <w:p w14:paraId="21DBDFAC"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Ministarstvo zdravstva</w:t>
            </w:r>
          </w:p>
        </w:tc>
        <w:tc>
          <w:tcPr>
            <w:tcW w:w="994" w:type="dxa"/>
          </w:tcPr>
          <w:p w14:paraId="0B209C0F"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1150</w:t>
            </w:r>
          </w:p>
        </w:tc>
        <w:tc>
          <w:tcPr>
            <w:tcW w:w="1006" w:type="dxa"/>
          </w:tcPr>
          <w:p w14:paraId="7D0FA55E"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highlight w:val="yellow"/>
              </w:rPr>
            </w:pPr>
            <w:r w:rsidRPr="00E051CA">
              <w:rPr>
                <w:rFonts w:eastAsia="Times New Roman" w:cs="Times New Roman"/>
                <w:noProof/>
                <w:sz w:val="22"/>
                <w:szCs w:val="24"/>
              </w:rPr>
              <w:t>1150</w:t>
            </w:r>
          </w:p>
        </w:tc>
      </w:tr>
    </w:tbl>
    <w:p w14:paraId="4EE7E08D"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p>
    <w:p w14:paraId="309E6FAB" w14:textId="77777777" w:rsidR="00E051CA" w:rsidRPr="00E051CA" w:rsidRDefault="00E051CA" w:rsidP="00E051CA">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noProof/>
          <w:sz w:val="24"/>
          <w:szCs w:val="24"/>
        </w:rPr>
      </w:pPr>
      <w:r w:rsidRPr="00E051CA">
        <w:rPr>
          <w:rFonts w:ascii="Times New Roman" w:eastAsia="Times New Roman" w:hAnsi="Times New Roman" w:cs="Times New Roman"/>
          <w:b/>
          <w:bCs/>
          <w:noProof/>
          <w:sz w:val="24"/>
          <w:szCs w:val="24"/>
        </w:rPr>
        <w:t>A891006 PROVEDBA PREVENTIVNIH PROGRAMA – KLINIČKI BOLNIČKI CENTAR ZAGREB</w:t>
      </w:r>
    </w:p>
    <w:p w14:paraId="492EC2EB" w14:textId="77777777" w:rsidR="00E051CA" w:rsidRPr="00E051CA" w:rsidRDefault="00E051CA" w:rsidP="00E051C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t>Zakonske i druge pravne osnove</w:t>
      </w:r>
    </w:p>
    <w:p w14:paraId="21F89C5F"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Čl. 10. Zakona o zdravstvenoj zaštiti, Nacionalni program za probir i rano otkrivanje raka pluća.</w:t>
      </w:r>
    </w:p>
    <w:tbl>
      <w:tblPr>
        <w:tblStyle w:val="StilTablice1"/>
        <w:tblW w:w="9150" w:type="dxa"/>
        <w:jc w:val="center"/>
        <w:tblLook w:val="04A0" w:firstRow="1" w:lastRow="0" w:firstColumn="1" w:lastColumn="0" w:noHBand="0" w:noVBand="1"/>
      </w:tblPr>
      <w:tblGrid>
        <w:gridCol w:w="1728"/>
        <w:gridCol w:w="1479"/>
        <w:gridCol w:w="1464"/>
        <w:gridCol w:w="1483"/>
        <w:gridCol w:w="1492"/>
        <w:gridCol w:w="1504"/>
      </w:tblGrid>
      <w:tr w:rsidR="00E051CA" w:rsidRPr="00E051CA" w14:paraId="3C4EF260" w14:textId="77777777" w:rsidTr="001F4070">
        <w:trPr>
          <w:jc w:val="center"/>
        </w:trPr>
        <w:tc>
          <w:tcPr>
            <w:tcW w:w="1581" w:type="dxa"/>
            <w:shd w:val="clear" w:color="auto" w:fill="B5C0D8"/>
          </w:tcPr>
          <w:p w14:paraId="5993AAAC"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Naziv aktivnosti</w:t>
            </w:r>
          </w:p>
        </w:tc>
        <w:tc>
          <w:tcPr>
            <w:tcW w:w="1511" w:type="dxa"/>
            <w:shd w:val="clear" w:color="auto" w:fill="B5C0D8"/>
          </w:tcPr>
          <w:p w14:paraId="1107713D"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Izvršenje 2022.</w:t>
            </w:r>
          </w:p>
        </w:tc>
        <w:tc>
          <w:tcPr>
            <w:tcW w:w="1507" w:type="dxa"/>
            <w:shd w:val="clear" w:color="auto" w:fill="B5C0D8"/>
          </w:tcPr>
          <w:p w14:paraId="658FE216"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Plan 2023.</w:t>
            </w:r>
          </w:p>
        </w:tc>
        <w:tc>
          <w:tcPr>
            <w:tcW w:w="1511" w:type="dxa"/>
            <w:shd w:val="clear" w:color="auto" w:fill="B5C0D8"/>
          </w:tcPr>
          <w:p w14:paraId="5BE15748"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Izvršenje 2023.</w:t>
            </w:r>
          </w:p>
        </w:tc>
        <w:tc>
          <w:tcPr>
            <w:tcW w:w="1517" w:type="dxa"/>
            <w:shd w:val="clear" w:color="auto" w:fill="B5C0D8"/>
          </w:tcPr>
          <w:p w14:paraId="6EDE5792"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Indeks izvršenje 2023./plan 2023.</w:t>
            </w:r>
          </w:p>
        </w:tc>
        <w:tc>
          <w:tcPr>
            <w:tcW w:w="1523" w:type="dxa"/>
            <w:shd w:val="clear" w:color="auto" w:fill="B5C0D8"/>
          </w:tcPr>
          <w:p w14:paraId="62D263E3"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Indeks izvršenje 2023./2022.</w:t>
            </w:r>
          </w:p>
        </w:tc>
      </w:tr>
      <w:tr w:rsidR="00E051CA" w:rsidRPr="00E051CA" w14:paraId="08FCD4F9" w14:textId="77777777" w:rsidTr="001F4070">
        <w:trPr>
          <w:jc w:val="center"/>
        </w:trPr>
        <w:tc>
          <w:tcPr>
            <w:tcW w:w="1581" w:type="dxa"/>
            <w:vAlign w:val="top"/>
          </w:tcPr>
          <w:p w14:paraId="3BB530D4" w14:textId="77777777" w:rsidR="00E051CA" w:rsidRPr="00E051CA" w:rsidRDefault="00E051CA" w:rsidP="00F0610A">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A891006-PROVEDBA PREVENTIVNIH PROGRAMA</w:t>
            </w:r>
          </w:p>
        </w:tc>
        <w:tc>
          <w:tcPr>
            <w:tcW w:w="1511" w:type="dxa"/>
            <w:vAlign w:val="top"/>
          </w:tcPr>
          <w:p w14:paraId="311F1AB2"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0,00</w:t>
            </w:r>
          </w:p>
        </w:tc>
        <w:tc>
          <w:tcPr>
            <w:tcW w:w="1507" w:type="dxa"/>
            <w:vAlign w:val="top"/>
          </w:tcPr>
          <w:p w14:paraId="114FE4CD"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33.181</w:t>
            </w:r>
          </w:p>
        </w:tc>
        <w:tc>
          <w:tcPr>
            <w:tcW w:w="1511" w:type="dxa"/>
            <w:vAlign w:val="top"/>
          </w:tcPr>
          <w:p w14:paraId="4109408C"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14.541,49</w:t>
            </w:r>
          </w:p>
        </w:tc>
        <w:tc>
          <w:tcPr>
            <w:tcW w:w="1517" w:type="dxa"/>
            <w:vAlign w:val="top"/>
          </w:tcPr>
          <w:p w14:paraId="1AFE1DEB"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43,8</w:t>
            </w:r>
          </w:p>
        </w:tc>
        <w:tc>
          <w:tcPr>
            <w:tcW w:w="1523" w:type="dxa"/>
            <w:vAlign w:val="top"/>
          </w:tcPr>
          <w:p w14:paraId="21CE78CB"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0,0</w:t>
            </w:r>
          </w:p>
        </w:tc>
      </w:tr>
    </w:tbl>
    <w:p w14:paraId="66830409" w14:textId="77777777" w:rsidR="00E051CA" w:rsidRPr="00E051CA" w:rsidRDefault="00E051CA" w:rsidP="00E051CA">
      <w:pPr>
        <w:overflowPunct w:val="0"/>
        <w:autoSpaceDE w:val="0"/>
        <w:autoSpaceDN w:val="0"/>
        <w:adjustRightInd w:val="0"/>
        <w:spacing w:after="120" w:line="240" w:lineRule="auto"/>
        <w:textAlignment w:val="baseline"/>
        <w:rPr>
          <w:rFonts w:ascii="Times New Roman" w:eastAsia="Times New Roman" w:hAnsi="Times New Roman" w:cs="Times New Roman"/>
          <w:b/>
          <w:noProof/>
          <w:sz w:val="24"/>
          <w:szCs w:val="24"/>
        </w:rPr>
      </w:pPr>
    </w:p>
    <w:p w14:paraId="4B3EB438" w14:textId="77777777" w:rsidR="00E051CA" w:rsidRPr="00E051CA" w:rsidRDefault="00E051CA" w:rsidP="00E051CA">
      <w:pPr>
        <w:overflowPunct w:val="0"/>
        <w:autoSpaceDE w:val="0"/>
        <w:autoSpaceDN w:val="0"/>
        <w:adjustRightInd w:val="0"/>
        <w:spacing w:after="120" w:line="240" w:lineRule="auto"/>
        <w:textAlignment w:val="baseline"/>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t>Opis aktivnosti</w:t>
      </w:r>
    </w:p>
    <w:p w14:paraId="3F94B836"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U 2023. godini u svrhu provođenja aktivnosti Nacionalnog programa za probir i rano otkrivanje raka pluća radi poziva građanima iz ciljnih populacija o mogućnosti uključivanja u predmetni program iz aktivnosti A891006 – Provedba preventivnih programa utrošena su sredstva u iznosu od 14.541 EUR. Za usluge promidžbe i informiranja utrošeno je 11.673 EUR, a za nabavu računalne opreme edukacijsko-komunikacijskog centra za obradu podataka i dostavu izvješća namijenjenih Ministarstvu zdravstva i Hrvatskom zavodu za javno zdravstvo utrošeno je 2.868 EUR.</w:t>
      </w:r>
    </w:p>
    <w:p w14:paraId="476BD0B9"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Program se odvijao kontinuirano te je u 2023. godini ostvarena ciljana vrijednost broja pregledanih pacijenata.</w:t>
      </w:r>
      <w:bookmarkStart w:id="0" w:name="_GoBack"/>
      <w:bookmarkEnd w:id="0"/>
    </w:p>
    <w:p w14:paraId="0E3332A2" w14:textId="77777777" w:rsidR="00E051CA" w:rsidRPr="00E051CA" w:rsidRDefault="00E051CA" w:rsidP="00E051C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lastRenderedPageBreak/>
        <w:t>Pokazatelji rezultata</w:t>
      </w:r>
    </w:p>
    <w:tbl>
      <w:tblPr>
        <w:tblStyle w:val="StilTablice1"/>
        <w:tblW w:w="9212" w:type="dxa"/>
        <w:jc w:val="center"/>
        <w:tblLook w:val="04A0" w:firstRow="1" w:lastRow="0" w:firstColumn="1" w:lastColumn="0" w:noHBand="0" w:noVBand="1"/>
      </w:tblPr>
      <w:tblGrid>
        <w:gridCol w:w="2061"/>
        <w:gridCol w:w="2027"/>
        <w:gridCol w:w="903"/>
        <w:gridCol w:w="994"/>
        <w:gridCol w:w="1227"/>
        <w:gridCol w:w="994"/>
        <w:gridCol w:w="1006"/>
      </w:tblGrid>
      <w:tr w:rsidR="00E051CA" w:rsidRPr="00E051CA" w14:paraId="706CA4EB" w14:textId="77777777" w:rsidTr="001F4070">
        <w:trPr>
          <w:jc w:val="center"/>
        </w:trPr>
        <w:tc>
          <w:tcPr>
            <w:tcW w:w="2061" w:type="dxa"/>
            <w:shd w:val="clear" w:color="auto" w:fill="B5C0D8"/>
          </w:tcPr>
          <w:p w14:paraId="5D2A3A21"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Pokazatelj rezultata</w:t>
            </w:r>
          </w:p>
        </w:tc>
        <w:tc>
          <w:tcPr>
            <w:tcW w:w="2027" w:type="dxa"/>
            <w:shd w:val="clear" w:color="auto" w:fill="B5C0D8"/>
          </w:tcPr>
          <w:p w14:paraId="3804F68E"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Definicija</w:t>
            </w:r>
          </w:p>
        </w:tc>
        <w:tc>
          <w:tcPr>
            <w:tcW w:w="903" w:type="dxa"/>
            <w:shd w:val="clear" w:color="auto" w:fill="B5C0D8"/>
          </w:tcPr>
          <w:p w14:paraId="31737503"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Jedinica</w:t>
            </w:r>
          </w:p>
        </w:tc>
        <w:tc>
          <w:tcPr>
            <w:tcW w:w="994" w:type="dxa"/>
            <w:shd w:val="clear" w:color="auto" w:fill="B5C0D8"/>
          </w:tcPr>
          <w:p w14:paraId="355CBC3F"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Polazna vrijednost</w:t>
            </w:r>
          </w:p>
        </w:tc>
        <w:tc>
          <w:tcPr>
            <w:tcW w:w="1227" w:type="dxa"/>
            <w:shd w:val="clear" w:color="auto" w:fill="B5C0D8"/>
          </w:tcPr>
          <w:p w14:paraId="41AE93A7"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Izvor podataka</w:t>
            </w:r>
          </w:p>
        </w:tc>
        <w:tc>
          <w:tcPr>
            <w:tcW w:w="994" w:type="dxa"/>
            <w:shd w:val="clear" w:color="auto" w:fill="B5C0D8"/>
          </w:tcPr>
          <w:p w14:paraId="6163548B"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Ciljana vrijednost (2023.)</w:t>
            </w:r>
          </w:p>
        </w:tc>
        <w:tc>
          <w:tcPr>
            <w:tcW w:w="1006" w:type="dxa"/>
            <w:shd w:val="clear" w:color="auto" w:fill="B5C0D8"/>
          </w:tcPr>
          <w:p w14:paraId="3AAF4165"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Ostvarena vrijednost (2023.)</w:t>
            </w:r>
          </w:p>
        </w:tc>
      </w:tr>
      <w:tr w:rsidR="00E051CA" w:rsidRPr="00E051CA" w14:paraId="16BDB346" w14:textId="77777777" w:rsidTr="001F4070">
        <w:trPr>
          <w:jc w:val="center"/>
        </w:trPr>
        <w:tc>
          <w:tcPr>
            <w:tcW w:w="2061" w:type="dxa"/>
            <w:vAlign w:val="top"/>
          </w:tcPr>
          <w:p w14:paraId="12FFB46C" w14:textId="77777777" w:rsidR="00E051CA" w:rsidRPr="00E051CA" w:rsidRDefault="00E051CA" w:rsidP="008B542B">
            <w:pPr>
              <w:overflowPunct w:val="0"/>
              <w:autoSpaceDE w:val="0"/>
              <w:autoSpaceDN w:val="0"/>
              <w:adjustRightInd w:val="0"/>
              <w:jc w:val="left"/>
              <w:textAlignment w:val="baseline"/>
              <w:rPr>
                <w:rFonts w:eastAsia="Times New Roman" w:cs="Times New Roman"/>
                <w:noProof/>
                <w:sz w:val="22"/>
                <w:szCs w:val="24"/>
              </w:rPr>
            </w:pPr>
            <w:r w:rsidRPr="00E051CA">
              <w:rPr>
                <w:rFonts w:eastAsia="Times New Roman" w:cs="Times New Roman"/>
                <w:noProof/>
                <w:sz w:val="22"/>
                <w:szCs w:val="24"/>
              </w:rPr>
              <w:t>Broj pregledanih pacijenata</w:t>
            </w:r>
          </w:p>
        </w:tc>
        <w:tc>
          <w:tcPr>
            <w:tcW w:w="2027" w:type="dxa"/>
            <w:vAlign w:val="top"/>
          </w:tcPr>
          <w:p w14:paraId="76B9602F" w14:textId="77777777" w:rsidR="00E051CA" w:rsidRPr="00E051CA" w:rsidRDefault="00E051CA" w:rsidP="008B542B">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noProof/>
                <w:sz w:val="22"/>
                <w:szCs w:val="24"/>
              </w:rPr>
              <w:t>U svrhu provedbe Nacionalnog programa za probir i rano otkrivanje raka pluća kroz promotivne aktivnosti povećati broj pregledanih pacijenata</w:t>
            </w:r>
          </w:p>
        </w:tc>
        <w:tc>
          <w:tcPr>
            <w:tcW w:w="903" w:type="dxa"/>
          </w:tcPr>
          <w:p w14:paraId="40ABD9D2"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broj</w:t>
            </w:r>
          </w:p>
        </w:tc>
        <w:tc>
          <w:tcPr>
            <w:tcW w:w="994" w:type="dxa"/>
          </w:tcPr>
          <w:p w14:paraId="1BD012C0"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0</w:t>
            </w:r>
          </w:p>
        </w:tc>
        <w:tc>
          <w:tcPr>
            <w:tcW w:w="1227" w:type="dxa"/>
          </w:tcPr>
          <w:p w14:paraId="186C11D7"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 xml:space="preserve">KBC Zagreb </w:t>
            </w:r>
          </w:p>
        </w:tc>
        <w:tc>
          <w:tcPr>
            <w:tcW w:w="994" w:type="dxa"/>
          </w:tcPr>
          <w:p w14:paraId="04F52087"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780</w:t>
            </w:r>
          </w:p>
        </w:tc>
        <w:tc>
          <w:tcPr>
            <w:tcW w:w="1006" w:type="dxa"/>
          </w:tcPr>
          <w:p w14:paraId="4AED9018" w14:textId="77777777" w:rsidR="00E051CA" w:rsidRPr="00E051CA" w:rsidRDefault="00E051CA" w:rsidP="00E051CA">
            <w:pPr>
              <w:overflowPunct w:val="0"/>
              <w:autoSpaceDE w:val="0"/>
              <w:autoSpaceDN w:val="0"/>
              <w:adjustRightInd w:val="0"/>
              <w:textAlignment w:val="baseline"/>
              <w:rPr>
                <w:rFonts w:eastAsia="Times New Roman" w:cs="Times New Roman"/>
                <w:noProof/>
                <w:sz w:val="22"/>
                <w:szCs w:val="24"/>
              </w:rPr>
            </w:pPr>
            <w:r w:rsidRPr="00E051CA">
              <w:rPr>
                <w:rFonts w:eastAsia="Times New Roman" w:cs="Times New Roman"/>
                <w:noProof/>
                <w:sz w:val="22"/>
                <w:szCs w:val="24"/>
              </w:rPr>
              <w:t>1023</w:t>
            </w:r>
          </w:p>
        </w:tc>
      </w:tr>
    </w:tbl>
    <w:p w14:paraId="06935402"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p>
    <w:p w14:paraId="5D0A8074"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p>
    <w:p w14:paraId="76EED707" w14:textId="77777777" w:rsidR="00E051CA" w:rsidRPr="00E051CA" w:rsidRDefault="00E051CA" w:rsidP="00E051CA">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noProof/>
          <w:sz w:val="24"/>
          <w:szCs w:val="24"/>
        </w:rPr>
      </w:pPr>
      <w:r w:rsidRPr="00E051CA">
        <w:rPr>
          <w:rFonts w:ascii="Times New Roman" w:eastAsia="Times New Roman" w:hAnsi="Times New Roman" w:cs="Times New Roman"/>
          <w:b/>
          <w:bCs/>
          <w:noProof/>
          <w:sz w:val="24"/>
          <w:szCs w:val="24"/>
        </w:rPr>
        <w:t>T891009 PROVEDBA PROBIRA RAKA ŽELUCA U ZEMLJAMA EUROPSKE UNIJE EU4HEALTH – TOGAS</w:t>
      </w:r>
    </w:p>
    <w:p w14:paraId="43BC0F2B" w14:textId="77777777" w:rsidR="00E051CA" w:rsidRPr="00E051CA" w:rsidRDefault="00E051CA" w:rsidP="00E051CA">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t>Zakonske i druge pravne osnove</w:t>
      </w:r>
    </w:p>
    <w:p w14:paraId="209EC68E"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Zdravlje za rast (HEALTH FOR GROWTH), EU4H-2022-PJ</w:t>
      </w:r>
    </w:p>
    <w:tbl>
      <w:tblPr>
        <w:tblStyle w:val="StilTablice1"/>
        <w:tblW w:w="9150" w:type="dxa"/>
        <w:jc w:val="center"/>
        <w:tblLook w:val="04A0" w:firstRow="1" w:lastRow="0" w:firstColumn="1" w:lastColumn="0" w:noHBand="0" w:noVBand="1"/>
      </w:tblPr>
      <w:tblGrid>
        <w:gridCol w:w="1581"/>
        <w:gridCol w:w="1511"/>
        <w:gridCol w:w="1507"/>
        <w:gridCol w:w="1511"/>
        <w:gridCol w:w="1517"/>
        <w:gridCol w:w="1523"/>
      </w:tblGrid>
      <w:tr w:rsidR="00E051CA" w:rsidRPr="00E051CA" w14:paraId="4F592AC8" w14:textId="77777777" w:rsidTr="001F4070">
        <w:trPr>
          <w:jc w:val="center"/>
        </w:trPr>
        <w:tc>
          <w:tcPr>
            <w:tcW w:w="1581" w:type="dxa"/>
            <w:shd w:val="clear" w:color="auto" w:fill="B5C0D8"/>
          </w:tcPr>
          <w:p w14:paraId="0633F893"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Naziv aktivnosti</w:t>
            </w:r>
          </w:p>
        </w:tc>
        <w:tc>
          <w:tcPr>
            <w:tcW w:w="1511" w:type="dxa"/>
            <w:shd w:val="clear" w:color="auto" w:fill="B5C0D8"/>
          </w:tcPr>
          <w:p w14:paraId="12D3E1B8"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Izvršenje 2022.</w:t>
            </w:r>
          </w:p>
        </w:tc>
        <w:tc>
          <w:tcPr>
            <w:tcW w:w="1507" w:type="dxa"/>
            <w:shd w:val="clear" w:color="auto" w:fill="B5C0D8"/>
          </w:tcPr>
          <w:p w14:paraId="6586F9CD"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Plan 2023.</w:t>
            </w:r>
          </w:p>
        </w:tc>
        <w:tc>
          <w:tcPr>
            <w:tcW w:w="1511" w:type="dxa"/>
            <w:shd w:val="clear" w:color="auto" w:fill="B5C0D8"/>
          </w:tcPr>
          <w:p w14:paraId="062A22E4"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Izvršenje 2023.</w:t>
            </w:r>
          </w:p>
        </w:tc>
        <w:tc>
          <w:tcPr>
            <w:tcW w:w="1517" w:type="dxa"/>
            <w:shd w:val="clear" w:color="auto" w:fill="B5C0D8"/>
          </w:tcPr>
          <w:p w14:paraId="19892A25"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Indeks izvršenje 2023./plan 2023.</w:t>
            </w:r>
          </w:p>
        </w:tc>
        <w:tc>
          <w:tcPr>
            <w:tcW w:w="1523" w:type="dxa"/>
            <w:shd w:val="clear" w:color="auto" w:fill="B5C0D8"/>
          </w:tcPr>
          <w:p w14:paraId="3E229273" w14:textId="77777777" w:rsidR="00E051CA" w:rsidRPr="00E051CA" w:rsidRDefault="00E051CA" w:rsidP="00E051CA">
            <w:pPr>
              <w:overflowPunct w:val="0"/>
              <w:autoSpaceDE w:val="0"/>
              <w:autoSpaceDN w:val="0"/>
              <w:adjustRightInd w:val="0"/>
              <w:textAlignment w:val="baseline"/>
              <w:rPr>
                <w:rFonts w:eastAsia="Times New Roman" w:cs="Times New Roman"/>
                <w:bCs/>
                <w:noProof/>
                <w:sz w:val="22"/>
                <w:szCs w:val="24"/>
                <w:lang w:eastAsia="hr-HR"/>
              </w:rPr>
            </w:pPr>
            <w:r w:rsidRPr="00E051CA">
              <w:rPr>
                <w:rFonts w:eastAsia="Times New Roman" w:cs="Times New Roman"/>
                <w:bCs/>
                <w:noProof/>
                <w:sz w:val="22"/>
                <w:szCs w:val="24"/>
                <w:lang w:eastAsia="hr-HR"/>
              </w:rPr>
              <w:t>Indeks izvršenje 2023./2022.</w:t>
            </w:r>
          </w:p>
        </w:tc>
      </w:tr>
      <w:tr w:rsidR="00E051CA" w:rsidRPr="00E051CA" w14:paraId="2A212CE9" w14:textId="77777777" w:rsidTr="001F4070">
        <w:trPr>
          <w:jc w:val="center"/>
        </w:trPr>
        <w:tc>
          <w:tcPr>
            <w:tcW w:w="1581" w:type="dxa"/>
            <w:vAlign w:val="top"/>
          </w:tcPr>
          <w:p w14:paraId="2ACB0ECD" w14:textId="77777777" w:rsidR="00E051CA" w:rsidRPr="00E051CA" w:rsidRDefault="00E051CA" w:rsidP="00E35C5D">
            <w:pPr>
              <w:overflowPunct w:val="0"/>
              <w:autoSpaceDE w:val="0"/>
              <w:autoSpaceDN w:val="0"/>
              <w:adjustRightInd w:val="0"/>
              <w:jc w:val="left"/>
              <w:textAlignment w:val="baseline"/>
              <w:rPr>
                <w:rFonts w:eastAsia="Times New Roman" w:cs="Times New Roman"/>
                <w:bCs/>
                <w:noProof/>
                <w:sz w:val="22"/>
                <w:szCs w:val="24"/>
                <w:lang w:eastAsia="hr-HR"/>
              </w:rPr>
            </w:pPr>
            <w:r w:rsidRPr="00E051CA">
              <w:rPr>
                <w:rFonts w:eastAsia="Times New Roman" w:cs="Times New Roman"/>
                <w:bCs/>
                <w:noProof/>
                <w:szCs w:val="24"/>
                <w:lang w:eastAsia="hr-HR"/>
              </w:rPr>
              <w:t>T891009-PROVEDBA PROBIRA RAKA ŽELUCA - TOGAS</w:t>
            </w:r>
          </w:p>
        </w:tc>
        <w:tc>
          <w:tcPr>
            <w:tcW w:w="1511" w:type="dxa"/>
            <w:vAlign w:val="top"/>
          </w:tcPr>
          <w:p w14:paraId="4B03A7A3"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0,00</w:t>
            </w:r>
          </w:p>
        </w:tc>
        <w:tc>
          <w:tcPr>
            <w:tcW w:w="1507" w:type="dxa"/>
            <w:vAlign w:val="top"/>
          </w:tcPr>
          <w:p w14:paraId="6642F7E5"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p>
        </w:tc>
        <w:tc>
          <w:tcPr>
            <w:tcW w:w="1511" w:type="dxa"/>
            <w:vAlign w:val="top"/>
          </w:tcPr>
          <w:p w14:paraId="322D0AAC"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r w:rsidRPr="00E051CA">
              <w:rPr>
                <w:rFonts w:eastAsia="Times New Roman" w:cs="Times New Roman"/>
                <w:noProof/>
                <w:sz w:val="22"/>
                <w:szCs w:val="24"/>
              </w:rPr>
              <w:t>2.048,20</w:t>
            </w:r>
          </w:p>
        </w:tc>
        <w:tc>
          <w:tcPr>
            <w:tcW w:w="1517" w:type="dxa"/>
            <w:vAlign w:val="top"/>
          </w:tcPr>
          <w:p w14:paraId="04FF3357"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p>
        </w:tc>
        <w:tc>
          <w:tcPr>
            <w:tcW w:w="1523" w:type="dxa"/>
            <w:vAlign w:val="top"/>
          </w:tcPr>
          <w:p w14:paraId="4D6155B0" w14:textId="77777777" w:rsidR="00E051CA" w:rsidRPr="00E051CA" w:rsidRDefault="00E051CA" w:rsidP="00E051CA">
            <w:pPr>
              <w:overflowPunct w:val="0"/>
              <w:autoSpaceDE w:val="0"/>
              <w:autoSpaceDN w:val="0"/>
              <w:adjustRightInd w:val="0"/>
              <w:jc w:val="right"/>
              <w:textAlignment w:val="baseline"/>
              <w:rPr>
                <w:rFonts w:eastAsia="Times New Roman" w:cs="Times New Roman"/>
                <w:noProof/>
                <w:sz w:val="22"/>
                <w:szCs w:val="24"/>
              </w:rPr>
            </w:pPr>
          </w:p>
        </w:tc>
      </w:tr>
    </w:tbl>
    <w:p w14:paraId="55C4B6AB"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p>
    <w:p w14:paraId="76A097A8"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b/>
          <w:noProof/>
          <w:sz w:val="24"/>
          <w:szCs w:val="24"/>
        </w:rPr>
      </w:pPr>
      <w:r w:rsidRPr="00E051CA">
        <w:rPr>
          <w:rFonts w:ascii="Times New Roman" w:eastAsia="Times New Roman" w:hAnsi="Times New Roman" w:cs="Times New Roman"/>
          <w:b/>
          <w:noProof/>
          <w:sz w:val="24"/>
          <w:szCs w:val="24"/>
        </w:rPr>
        <w:t>Opis aktivnosti:</w:t>
      </w:r>
    </w:p>
    <w:p w14:paraId="09E70A8F"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U Europi ne postoji razvijen niti jedan učinkoviti screening program za karcinom želuca. Očekuje se kako će eliminacija Helicobacter pylori smanjiti smrtnost od karcinoma želuca za 40%. Drugi potencijalni rani pristup je detekcija prekanceroznih lezija u želucu te njihovo praćenje. Cilj TOGAS projekta je donijeti nove informacije temeljene na dokazima na temelju kojih će se moći dizajnirati daljnji planovi te implementirati adekvatan program prevencije karcinoma želuca duž Europske unije. Rezultati ovog projekta pomoći će zakonodavnim tijelima inkorporirati screening program za karcinom želuca u vlastite zdravstvene sustave pritom balansirajući učinkovitost, izvedivost te prihvatljvost pojedinog programa uzevši u obzir potencijalne dugoročne neželjene događaje. </w:t>
      </w:r>
    </w:p>
    <w:p w14:paraId="7F8CD39B"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 xml:space="preserve">TOGAS ima 3 specifična cilja: </w:t>
      </w:r>
    </w:p>
    <w:p w14:paraId="589EE255"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 xml:space="preserve">1. Procjena aktualnog stanja u zdravstvenim sustavima država sudionica i ciljne populacije za prevenciju karcinoma želuca, uključujući informacije o oportunističkom screeningu organiziranom u javnom i privatnom sustavu. </w:t>
      </w:r>
    </w:p>
    <w:p w14:paraId="625DCEFD"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 xml:space="preserve">2. Procjena adekvatnosti različitih screening modaliteta za implementaciju u EU. </w:t>
      </w:r>
    </w:p>
    <w:p w14:paraId="43DAA045"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lastRenderedPageBreak/>
        <w:t xml:space="preserve">3. Osiguravanje održivosti rezultata na temelju efektivne strategije diseminacije i koordinacije metodologije sa pristupima korištenima unutar EU, uključujući europske smjernice i sheme osiguranja kvalitete (European Guidelines and Quality Assurance Schemes). </w:t>
      </w:r>
    </w:p>
    <w:p w14:paraId="3543412C"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Projekt vodi Latvijsko Sveučilište (University of Latvia) te uključuje 3 pilot studije dizajnirane s ciljem odgovora na specifične aspekte screeninga i rane detekcije karcinoma želuca. Modeliranje troška i učinkovotosti (Cost-effectiveness modelling) i adresiranje aspekata medicinske etike biti će integralni djelovi projekta. Kako bi se rezultati projekta široko diseminirali, TOGAS će organizirati 3 široko vidljive konferencije kao i jednu veliku konferenciju zajedno sa ostalim aktualnim projektima prevencije karcinoma. TOGAS konzorcij sastoji se od 18 punopravnih partnera i 3 pridružena člana koji predstavljaju institucije visokog obrazovanja, znanstvene institute i klinike iz ukupno 12 zemalja.  </w:t>
      </w:r>
    </w:p>
    <w:p w14:paraId="7028011C"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IZNOS PROJEKTA: 183.029,92 EUR (od toga 146.423,94 EUR financiranje iz Programa Unije, a 36.605,98 EUR sufinancira korisnik)</w:t>
      </w:r>
    </w:p>
    <w:p w14:paraId="49BF7DFE" w14:textId="77777777" w:rsidR="00E051CA" w:rsidRPr="00E051CA" w:rsidRDefault="00E051CA" w:rsidP="00E051CA">
      <w:pPr>
        <w:overflowPunct w:val="0"/>
        <w:autoSpaceDE w:val="0"/>
        <w:autoSpaceDN w:val="0"/>
        <w:adjustRightInd w:val="0"/>
        <w:spacing w:after="120" w:line="240" w:lineRule="auto"/>
        <w:jc w:val="both"/>
        <w:textAlignment w:val="baseline"/>
        <w:rPr>
          <w:rFonts w:ascii="Times New Roman" w:eastAsia="Times New Roman" w:hAnsi="Times New Roman" w:cs="Times New Roman"/>
          <w:noProof/>
          <w:sz w:val="24"/>
          <w:szCs w:val="24"/>
        </w:rPr>
      </w:pPr>
      <w:r w:rsidRPr="00E051CA">
        <w:rPr>
          <w:rFonts w:ascii="Times New Roman" w:eastAsia="Times New Roman" w:hAnsi="Times New Roman" w:cs="Times New Roman"/>
          <w:noProof/>
          <w:sz w:val="24"/>
          <w:szCs w:val="24"/>
        </w:rPr>
        <w:t>Za potrebe provedbe projekta u 2023. godini utrošena su sredstva u iznosu od 2.048 EUR za putne troškove sudionika sastanaka konzorcija.</w:t>
      </w:r>
    </w:p>
    <w:p w14:paraId="345CFE0C" w14:textId="77777777" w:rsidR="00E051CA" w:rsidRPr="00E051CA" w:rsidRDefault="00E051CA" w:rsidP="00511EFF">
      <w:pPr>
        <w:rPr>
          <w:rFonts w:ascii="Times New Roman" w:hAnsi="Times New Roman" w:cs="Times New Roman"/>
          <w:sz w:val="24"/>
          <w:szCs w:val="24"/>
        </w:rPr>
      </w:pPr>
    </w:p>
    <w:sectPr w:rsidR="00E051CA" w:rsidRPr="00E05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E54AC"/>
    <w:multiLevelType w:val="hybridMultilevel"/>
    <w:tmpl w:val="0DDACCDC"/>
    <w:lvl w:ilvl="0" w:tplc="041A0001">
      <w:start w:val="1"/>
      <w:numFmt w:val="bullet"/>
      <w:lvlText w:val=""/>
      <w:lvlJc w:val="left"/>
      <w:pPr>
        <w:ind w:left="775" w:hanging="360"/>
      </w:pPr>
      <w:rPr>
        <w:rFonts w:ascii="Symbol" w:hAnsi="Symbol" w:hint="default"/>
      </w:rPr>
    </w:lvl>
    <w:lvl w:ilvl="1" w:tplc="041A0003" w:tentative="1">
      <w:start w:val="1"/>
      <w:numFmt w:val="bullet"/>
      <w:lvlText w:val="o"/>
      <w:lvlJc w:val="left"/>
      <w:pPr>
        <w:ind w:left="1495" w:hanging="360"/>
      </w:pPr>
      <w:rPr>
        <w:rFonts w:ascii="Courier New" w:hAnsi="Courier New" w:cs="Courier New" w:hint="default"/>
      </w:rPr>
    </w:lvl>
    <w:lvl w:ilvl="2" w:tplc="041A0005" w:tentative="1">
      <w:start w:val="1"/>
      <w:numFmt w:val="bullet"/>
      <w:lvlText w:val=""/>
      <w:lvlJc w:val="left"/>
      <w:pPr>
        <w:ind w:left="2215" w:hanging="360"/>
      </w:pPr>
      <w:rPr>
        <w:rFonts w:ascii="Wingdings" w:hAnsi="Wingdings" w:hint="default"/>
      </w:rPr>
    </w:lvl>
    <w:lvl w:ilvl="3" w:tplc="041A0001" w:tentative="1">
      <w:start w:val="1"/>
      <w:numFmt w:val="bullet"/>
      <w:lvlText w:val=""/>
      <w:lvlJc w:val="left"/>
      <w:pPr>
        <w:ind w:left="2935" w:hanging="360"/>
      </w:pPr>
      <w:rPr>
        <w:rFonts w:ascii="Symbol" w:hAnsi="Symbol" w:hint="default"/>
      </w:rPr>
    </w:lvl>
    <w:lvl w:ilvl="4" w:tplc="041A0003" w:tentative="1">
      <w:start w:val="1"/>
      <w:numFmt w:val="bullet"/>
      <w:lvlText w:val="o"/>
      <w:lvlJc w:val="left"/>
      <w:pPr>
        <w:ind w:left="3655" w:hanging="360"/>
      </w:pPr>
      <w:rPr>
        <w:rFonts w:ascii="Courier New" w:hAnsi="Courier New" w:cs="Courier New" w:hint="default"/>
      </w:rPr>
    </w:lvl>
    <w:lvl w:ilvl="5" w:tplc="041A0005" w:tentative="1">
      <w:start w:val="1"/>
      <w:numFmt w:val="bullet"/>
      <w:lvlText w:val=""/>
      <w:lvlJc w:val="left"/>
      <w:pPr>
        <w:ind w:left="4375" w:hanging="360"/>
      </w:pPr>
      <w:rPr>
        <w:rFonts w:ascii="Wingdings" w:hAnsi="Wingdings" w:hint="default"/>
      </w:rPr>
    </w:lvl>
    <w:lvl w:ilvl="6" w:tplc="041A0001" w:tentative="1">
      <w:start w:val="1"/>
      <w:numFmt w:val="bullet"/>
      <w:lvlText w:val=""/>
      <w:lvlJc w:val="left"/>
      <w:pPr>
        <w:ind w:left="5095" w:hanging="360"/>
      </w:pPr>
      <w:rPr>
        <w:rFonts w:ascii="Symbol" w:hAnsi="Symbol" w:hint="default"/>
      </w:rPr>
    </w:lvl>
    <w:lvl w:ilvl="7" w:tplc="041A0003" w:tentative="1">
      <w:start w:val="1"/>
      <w:numFmt w:val="bullet"/>
      <w:lvlText w:val="o"/>
      <w:lvlJc w:val="left"/>
      <w:pPr>
        <w:ind w:left="5815" w:hanging="360"/>
      </w:pPr>
      <w:rPr>
        <w:rFonts w:ascii="Courier New" w:hAnsi="Courier New" w:cs="Courier New" w:hint="default"/>
      </w:rPr>
    </w:lvl>
    <w:lvl w:ilvl="8" w:tplc="041A0005" w:tentative="1">
      <w:start w:val="1"/>
      <w:numFmt w:val="bullet"/>
      <w:lvlText w:val=""/>
      <w:lvlJc w:val="left"/>
      <w:pPr>
        <w:ind w:left="6535" w:hanging="360"/>
      </w:pPr>
      <w:rPr>
        <w:rFonts w:ascii="Wingdings" w:hAnsi="Wingdings" w:hint="default"/>
      </w:rPr>
    </w:lvl>
  </w:abstractNum>
  <w:abstractNum w:abstractNumId="1" w15:restartNumberingAfterBreak="0">
    <w:nsid w:val="4641673D"/>
    <w:multiLevelType w:val="hybridMultilevel"/>
    <w:tmpl w:val="4BEE78B2"/>
    <w:lvl w:ilvl="0" w:tplc="4866FF1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C84600E"/>
    <w:multiLevelType w:val="hybridMultilevel"/>
    <w:tmpl w:val="1CA899D6"/>
    <w:lvl w:ilvl="0" w:tplc="96722CC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88B4D78"/>
    <w:multiLevelType w:val="hybridMultilevel"/>
    <w:tmpl w:val="B6FA453C"/>
    <w:lvl w:ilvl="0" w:tplc="45984B50">
      <w:start w:val="75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1C"/>
    <w:rsid w:val="00002202"/>
    <w:rsid w:val="000035AE"/>
    <w:rsid w:val="00024FAC"/>
    <w:rsid w:val="0004041B"/>
    <w:rsid w:val="00043027"/>
    <w:rsid w:val="00046B32"/>
    <w:rsid w:val="00051F34"/>
    <w:rsid w:val="00086497"/>
    <w:rsid w:val="00087FDC"/>
    <w:rsid w:val="00093368"/>
    <w:rsid w:val="000A1DCD"/>
    <w:rsid w:val="000B5068"/>
    <w:rsid w:val="000B62E4"/>
    <w:rsid w:val="000B666B"/>
    <w:rsid w:val="000D0A1C"/>
    <w:rsid w:val="000D1788"/>
    <w:rsid w:val="000E057B"/>
    <w:rsid w:val="000F1D96"/>
    <w:rsid w:val="00103BAE"/>
    <w:rsid w:val="0011567C"/>
    <w:rsid w:val="00117013"/>
    <w:rsid w:val="00117F63"/>
    <w:rsid w:val="0012395C"/>
    <w:rsid w:val="00124101"/>
    <w:rsid w:val="00124C7A"/>
    <w:rsid w:val="00127C1A"/>
    <w:rsid w:val="00141C57"/>
    <w:rsid w:val="00147132"/>
    <w:rsid w:val="00157ED7"/>
    <w:rsid w:val="001648A2"/>
    <w:rsid w:val="001701D7"/>
    <w:rsid w:val="001715F2"/>
    <w:rsid w:val="00171926"/>
    <w:rsid w:val="0017734B"/>
    <w:rsid w:val="00186B7B"/>
    <w:rsid w:val="001A19C7"/>
    <w:rsid w:val="001A3EAF"/>
    <w:rsid w:val="001A5ACE"/>
    <w:rsid w:val="001B62F4"/>
    <w:rsid w:val="001B67AE"/>
    <w:rsid w:val="001B7BB9"/>
    <w:rsid w:val="001C62F4"/>
    <w:rsid w:val="001F78FC"/>
    <w:rsid w:val="002123F6"/>
    <w:rsid w:val="00213E64"/>
    <w:rsid w:val="00234358"/>
    <w:rsid w:val="00235B5B"/>
    <w:rsid w:val="00245B1D"/>
    <w:rsid w:val="002475C8"/>
    <w:rsid w:val="00256F7F"/>
    <w:rsid w:val="00264564"/>
    <w:rsid w:val="00264D98"/>
    <w:rsid w:val="0027472E"/>
    <w:rsid w:val="002764E4"/>
    <w:rsid w:val="00280F08"/>
    <w:rsid w:val="00281DDC"/>
    <w:rsid w:val="00284F48"/>
    <w:rsid w:val="00295038"/>
    <w:rsid w:val="0029506A"/>
    <w:rsid w:val="00296E89"/>
    <w:rsid w:val="0029735D"/>
    <w:rsid w:val="00297F7A"/>
    <w:rsid w:val="002A0D67"/>
    <w:rsid w:val="002A1A0E"/>
    <w:rsid w:val="002C1CDA"/>
    <w:rsid w:val="002C5866"/>
    <w:rsid w:val="002D3006"/>
    <w:rsid w:val="002E4F07"/>
    <w:rsid w:val="002F4A11"/>
    <w:rsid w:val="002F5477"/>
    <w:rsid w:val="003005D3"/>
    <w:rsid w:val="003350C9"/>
    <w:rsid w:val="003366C6"/>
    <w:rsid w:val="00340CE4"/>
    <w:rsid w:val="00350492"/>
    <w:rsid w:val="00350797"/>
    <w:rsid w:val="00354F54"/>
    <w:rsid w:val="00357F2F"/>
    <w:rsid w:val="003728ED"/>
    <w:rsid w:val="00375D6C"/>
    <w:rsid w:val="00381A05"/>
    <w:rsid w:val="003A18F5"/>
    <w:rsid w:val="003A22DB"/>
    <w:rsid w:val="003B19DC"/>
    <w:rsid w:val="003B4654"/>
    <w:rsid w:val="003C28E1"/>
    <w:rsid w:val="003C487D"/>
    <w:rsid w:val="003D1566"/>
    <w:rsid w:val="003D42A7"/>
    <w:rsid w:val="003E7B0C"/>
    <w:rsid w:val="003F0803"/>
    <w:rsid w:val="00403638"/>
    <w:rsid w:val="004047DB"/>
    <w:rsid w:val="00407290"/>
    <w:rsid w:val="00410A59"/>
    <w:rsid w:val="0041114F"/>
    <w:rsid w:val="004439F9"/>
    <w:rsid w:val="00447FEF"/>
    <w:rsid w:val="004500DC"/>
    <w:rsid w:val="00456BD7"/>
    <w:rsid w:val="004574A5"/>
    <w:rsid w:val="00466878"/>
    <w:rsid w:val="0047377C"/>
    <w:rsid w:val="004742F7"/>
    <w:rsid w:val="00474544"/>
    <w:rsid w:val="0049537E"/>
    <w:rsid w:val="004A5F97"/>
    <w:rsid w:val="004A7CEE"/>
    <w:rsid w:val="004B7567"/>
    <w:rsid w:val="004C5D88"/>
    <w:rsid w:val="004C6E15"/>
    <w:rsid w:val="004D1021"/>
    <w:rsid w:val="004D2EDA"/>
    <w:rsid w:val="004D5B6C"/>
    <w:rsid w:val="004D649B"/>
    <w:rsid w:val="004D799B"/>
    <w:rsid w:val="004E389E"/>
    <w:rsid w:val="00502C64"/>
    <w:rsid w:val="00511EFF"/>
    <w:rsid w:val="00513DAC"/>
    <w:rsid w:val="00527AE3"/>
    <w:rsid w:val="00535A27"/>
    <w:rsid w:val="00551AB4"/>
    <w:rsid w:val="00553E6E"/>
    <w:rsid w:val="00555776"/>
    <w:rsid w:val="005606A4"/>
    <w:rsid w:val="00564616"/>
    <w:rsid w:val="00566060"/>
    <w:rsid w:val="005722A3"/>
    <w:rsid w:val="00573D95"/>
    <w:rsid w:val="00587E01"/>
    <w:rsid w:val="00596ED5"/>
    <w:rsid w:val="005A19D4"/>
    <w:rsid w:val="005B1582"/>
    <w:rsid w:val="005B2ADB"/>
    <w:rsid w:val="005B7E25"/>
    <w:rsid w:val="005C0A4F"/>
    <w:rsid w:val="005C1418"/>
    <w:rsid w:val="005C4121"/>
    <w:rsid w:val="005D087A"/>
    <w:rsid w:val="005D46CF"/>
    <w:rsid w:val="005E24B4"/>
    <w:rsid w:val="005E6A07"/>
    <w:rsid w:val="006012A8"/>
    <w:rsid w:val="00605080"/>
    <w:rsid w:val="006113F1"/>
    <w:rsid w:val="006126A6"/>
    <w:rsid w:val="00624C16"/>
    <w:rsid w:val="00626876"/>
    <w:rsid w:val="0063229B"/>
    <w:rsid w:val="0063581A"/>
    <w:rsid w:val="0064612B"/>
    <w:rsid w:val="00656FFA"/>
    <w:rsid w:val="00663772"/>
    <w:rsid w:val="00665275"/>
    <w:rsid w:val="006658CA"/>
    <w:rsid w:val="00671CFA"/>
    <w:rsid w:val="0067389E"/>
    <w:rsid w:val="00674100"/>
    <w:rsid w:val="0067577D"/>
    <w:rsid w:val="006771F4"/>
    <w:rsid w:val="00682827"/>
    <w:rsid w:val="00687FD1"/>
    <w:rsid w:val="006A4E15"/>
    <w:rsid w:val="006A5616"/>
    <w:rsid w:val="006B3084"/>
    <w:rsid w:val="006B6B18"/>
    <w:rsid w:val="006D0C54"/>
    <w:rsid w:val="006F2832"/>
    <w:rsid w:val="006F54F4"/>
    <w:rsid w:val="0070566F"/>
    <w:rsid w:val="007072DB"/>
    <w:rsid w:val="0071451C"/>
    <w:rsid w:val="007153F4"/>
    <w:rsid w:val="0072060E"/>
    <w:rsid w:val="00722153"/>
    <w:rsid w:val="0072334A"/>
    <w:rsid w:val="00731D7A"/>
    <w:rsid w:val="007357C6"/>
    <w:rsid w:val="007366C0"/>
    <w:rsid w:val="007407C9"/>
    <w:rsid w:val="0074547F"/>
    <w:rsid w:val="007454C8"/>
    <w:rsid w:val="007477BA"/>
    <w:rsid w:val="00750E3A"/>
    <w:rsid w:val="00751B2F"/>
    <w:rsid w:val="007530C2"/>
    <w:rsid w:val="00762A9E"/>
    <w:rsid w:val="007830DF"/>
    <w:rsid w:val="007901A7"/>
    <w:rsid w:val="00792C30"/>
    <w:rsid w:val="0079418A"/>
    <w:rsid w:val="007A447C"/>
    <w:rsid w:val="007B7B5E"/>
    <w:rsid w:val="007C13AF"/>
    <w:rsid w:val="007C2BED"/>
    <w:rsid w:val="007D5FB3"/>
    <w:rsid w:val="007E0299"/>
    <w:rsid w:val="007E23A9"/>
    <w:rsid w:val="007E662B"/>
    <w:rsid w:val="007E66AF"/>
    <w:rsid w:val="007F0FEB"/>
    <w:rsid w:val="007F3974"/>
    <w:rsid w:val="0080025C"/>
    <w:rsid w:val="00804C75"/>
    <w:rsid w:val="008050B7"/>
    <w:rsid w:val="0080580C"/>
    <w:rsid w:val="00807546"/>
    <w:rsid w:val="00810A7D"/>
    <w:rsid w:val="00812158"/>
    <w:rsid w:val="00813050"/>
    <w:rsid w:val="00821CBE"/>
    <w:rsid w:val="00834772"/>
    <w:rsid w:val="0084779B"/>
    <w:rsid w:val="0086637F"/>
    <w:rsid w:val="0087160E"/>
    <w:rsid w:val="00873D9F"/>
    <w:rsid w:val="00886A63"/>
    <w:rsid w:val="00886D68"/>
    <w:rsid w:val="00896E11"/>
    <w:rsid w:val="008A091F"/>
    <w:rsid w:val="008A5EFB"/>
    <w:rsid w:val="008A7273"/>
    <w:rsid w:val="008B542B"/>
    <w:rsid w:val="008B6B2C"/>
    <w:rsid w:val="008C4034"/>
    <w:rsid w:val="008D735E"/>
    <w:rsid w:val="008E4857"/>
    <w:rsid w:val="008E5FA6"/>
    <w:rsid w:val="008F6CD4"/>
    <w:rsid w:val="0091044D"/>
    <w:rsid w:val="009108D1"/>
    <w:rsid w:val="00910A50"/>
    <w:rsid w:val="00915DC6"/>
    <w:rsid w:val="00921B76"/>
    <w:rsid w:val="009353F0"/>
    <w:rsid w:val="00940841"/>
    <w:rsid w:val="0094274B"/>
    <w:rsid w:val="00947D3C"/>
    <w:rsid w:val="00952613"/>
    <w:rsid w:val="009640CD"/>
    <w:rsid w:val="00966709"/>
    <w:rsid w:val="00970453"/>
    <w:rsid w:val="00970509"/>
    <w:rsid w:val="009735BC"/>
    <w:rsid w:val="00975BA7"/>
    <w:rsid w:val="00977A2C"/>
    <w:rsid w:val="00977BB5"/>
    <w:rsid w:val="00996039"/>
    <w:rsid w:val="009A09A8"/>
    <w:rsid w:val="009C159E"/>
    <w:rsid w:val="009C546A"/>
    <w:rsid w:val="009D7CA0"/>
    <w:rsid w:val="009E629A"/>
    <w:rsid w:val="009F5356"/>
    <w:rsid w:val="00A13CD7"/>
    <w:rsid w:val="00A24ACE"/>
    <w:rsid w:val="00A45DDD"/>
    <w:rsid w:val="00A467E7"/>
    <w:rsid w:val="00A47DE4"/>
    <w:rsid w:val="00A63993"/>
    <w:rsid w:val="00A71068"/>
    <w:rsid w:val="00A77A94"/>
    <w:rsid w:val="00A81708"/>
    <w:rsid w:val="00A8179B"/>
    <w:rsid w:val="00A97C2F"/>
    <w:rsid w:val="00AA6839"/>
    <w:rsid w:val="00AB69D8"/>
    <w:rsid w:val="00AB6C98"/>
    <w:rsid w:val="00AC288F"/>
    <w:rsid w:val="00AD0C7A"/>
    <w:rsid w:val="00AE2812"/>
    <w:rsid w:val="00AE7151"/>
    <w:rsid w:val="00AF67D3"/>
    <w:rsid w:val="00B02D12"/>
    <w:rsid w:val="00B1047F"/>
    <w:rsid w:val="00B104E7"/>
    <w:rsid w:val="00B4381C"/>
    <w:rsid w:val="00B44ECA"/>
    <w:rsid w:val="00B5205C"/>
    <w:rsid w:val="00B7793B"/>
    <w:rsid w:val="00B91F15"/>
    <w:rsid w:val="00B93464"/>
    <w:rsid w:val="00B9438E"/>
    <w:rsid w:val="00B97409"/>
    <w:rsid w:val="00BA152A"/>
    <w:rsid w:val="00BB532E"/>
    <w:rsid w:val="00BD1E0D"/>
    <w:rsid w:val="00BD5557"/>
    <w:rsid w:val="00BE411A"/>
    <w:rsid w:val="00BE77D7"/>
    <w:rsid w:val="00BF44C6"/>
    <w:rsid w:val="00BF564C"/>
    <w:rsid w:val="00BF7302"/>
    <w:rsid w:val="00C069B9"/>
    <w:rsid w:val="00C101A1"/>
    <w:rsid w:val="00C23B16"/>
    <w:rsid w:val="00C248C9"/>
    <w:rsid w:val="00C46FEE"/>
    <w:rsid w:val="00C605E2"/>
    <w:rsid w:val="00C63B6C"/>
    <w:rsid w:val="00C96D87"/>
    <w:rsid w:val="00CA12E2"/>
    <w:rsid w:val="00CA4322"/>
    <w:rsid w:val="00CA7A4D"/>
    <w:rsid w:val="00CC41BF"/>
    <w:rsid w:val="00CD12CE"/>
    <w:rsid w:val="00CF5A73"/>
    <w:rsid w:val="00CF6AD6"/>
    <w:rsid w:val="00D01241"/>
    <w:rsid w:val="00D019AB"/>
    <w:rsid w:val="00D11AA8"/>
    <w:rsid w:val="00D11BB2"/>
    <w:rsid w:val="00D15E6A"/>
    <w:rsid w:val="00D44164"/>
    <w:rsid w:val="00D50BB3"/>
    <w:rsid w:val="00D52942"/>
    <w:rsid w:val="00D54E54"/>
    <w:rsid w:val="00D5726F"/>
    <w:rsid w:val="00D57FBB"/>
    <w:rsid w:val="00D620EA"/>
    <w:rsid w:val="00D63883"/>
    <w:rsid w:val="00D736A2"/>
    <w:rsid w:val="00D8794D"/>
    <w:rsid w:val="00D97622"/>
    <w:rsid w:val="00DA460C"/>
    <w:rsid w:val="00DC09C4"/>
    <w:rsid w:val="00DD2586"/>
    <w:rsid w:val="00DF778D"/>
    <w:rsid w:val="00DF7EAD"/>
    <w:rsid w:val="00E051CA"/>
    <w:rsid w:val="00E10DE3"/>
    <w:rsid w:val="00E34EA9"/>
    <w:rsid w:val="00E35C5D"/>
    <w:rsid w:val="00E47C78"/>
    <w:rsid w:val="00E601B8"/>
    <w:rsid w:val="00E63FDA"/>
    <w:rsid w:val="00E702A3"/>
    <w:rsid w:val="00E7152D"/>
    <w:rsid w:val="00E74D93"/>
    <w:rsid w:val="00E8554D"/>
    <w:rsid w:val="00E90A50"/>
    <w:rsid w:val="00E93178"/>
    <w:rsid w:val="00E95BFC"/>
    <w:rsid w:val="00EA1327"/>
    <w:rsid w:val="00EA6A56"/>
    <w:rsid w:val="00EE3C8C"/>
    <w:rsid w:val="00EE6083"/>
    <w:rsid w:val="00EF5A46"/>
    <w:rsid w:val="00F0148D"/>
    <w:rsid w:val="00F0610A"/>
    <w:rsid w:val="00F11DCC"/>
    <w:rsid w:val="00F21CD2"/>
    <w:rsid w:val="00F268E6"/>
    <w:rsid w:val="00F27370"/>
    <w:rsid w:val="00F36AF0"/>
    <w:rsid w:val="00F41762"/>
    <w:rsid w:val="00F471E7"/>
    <w:rsid w:val="00F523B7"/>
    <w:rsid w:val="00F70550"/>
    <w:rsid w:val="00F83058"/>
    <w:rsid w:val="00F860DD"/>
    <w:rsid w:val="00F93107"/>
    <w:rsid w:val="00F94DEE"/>
    <w:rsid w:val="00FA4C6F"/>
    <w:rsid w:val="00FB7206"/>
    <w:rsid w:val="00FC066B"/>
    <w:rsid w:val="00FC5D1F"/>
    <w:rsid w:val="00FC5F97"/>
    <w:rsid w:val="00FC7DCA"/>
    <w:rsid w:val="00FD16A1"/>
    <w:rsid w:val="00FD6B85"/>
    <w:rsid w:val="00FF73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EF82"/>
  <w15:chartTrackingRefBased/>
  <w15:docId w15:val="{1E9B1B47-3560-4932-BAAB-B450A5EE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715F2"/>
    <w:pPr>
      <w:keepNext/>
      <w:spacing w:after="0" w:line="240" w:lineRule="auto"/>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FD16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D16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FD16A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248C9"/>
    <w:rPr>
      <w:color w:val="0000FF"/>
      <w:u w:val="single"/>
    </w:rPr>
  </w:style>
  <w:style w:type="character" w:customStyle="1" w:styleId="Heading2Char">
    <w:name w:val="Heading 2 Char"/>
    <w:basedOn w:val="DefaultParagraphFont"/>
    <w:link w:val="Heading2"/>
    <w:rsid w:val="001715F2"/>
    <w:rPr>
      <w:rFonts w:ascii="Times New Roman" w:eastAsia="Times New Roman" w:hAnsi="Times New Roman" w:cs="Times New Roman"/>
      <w:b/>
      <w:bCs/>
      <w:sz w:val="24"/>
      <w:szCs w:val="24"/>
    </w:rPr>
  </w:style>
  <w:style w:type="paragraph" w:styleId="ListParagraph">
    <w:name w:val="List Paragraph"/>
    <w:basedOn w:val="Normal"/>
    <w:uiPriority w:val="34"/>
    <w:qFormat/>
    <w:rsid w:val="004D799B"/>
    <w:pPr>
      <w:ind w:left="720"/>
      <w:contextualSpacing/>
    </w:pPr>
  </w:style>
  <w:style w:type="character" w:customStyle="1" w:styleId="Heading3Char">
    <w:name w:val="Heading 3 Char"/>
    <w:basedOn w:val="DefaultParagraphFont"/>
    <w:link w:val="Heading3"/>
    <w:uiPriority w:val="9"/>
    <w:semiHidden/>
    <w:rsid w:val="00FD16A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D16A1"/>
    <w:rPr>
      <w:rFonts w:asciiTheme="majorHAnsi" w:eastAsiaTheme="majorEastAsia" w:hAnsiTheme="majorHAnsi" w:cstheme="majorBidi"/>
      <w:i/>
      <w:iCs/>
      <w:color w:val="2E74B5" w:themeColor="accent1" w:themeShade="BF"/>
    </w:rPr>
  </w:style>
  <w:style w:type="character" w:customStyle="1" w:styleId="Heading8Char">
    <w:name w:val="Heading 8 Char"/>
    <w:basedOn w:val="DefaultParagraphFont"/>
    <w:link w:val="Heading8"/>
    <w:uiPriority w:val="9"/>
    <w:semiHidden/>
    <w:rsid w:val="00FD16A1"/>
    <w:rPr>
      <w:rFonts w:asciiTheme="majorHAnsi" w:eastAsiaTheme="majorEastAsia" w:hAnsiTheme="majorHAnsi" w:cstheme="majorBidi"/>
      <w:color w:val="272727" w:themeColor="text1" w:themeTint="D8"/>
      <w:sz w:val="21"/>
      <w:szCs w:val="21"/>
    </w:rPr>
  </w:style>
  <w:style w:type="table" w:customStyle="1" w:styleId="StilTablice">
    <w:name w:val="StilTablice"/>
    <w:basedOn w:val="TableNormal"/>
    <w:uiPriority w:val="99"/>
    <w:rsid w:val="00FD16A1"/>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table" w:customStyle="1" w:styleId="StilTablice1">
    <w:name w:val="StilTablice1"/>
    <w:basedOn w:val="TableNormal"/>
    <w:uiPriority w:val="99"/>
    <w:rsid w:val="00E051C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264">
      <w:bodyDiv w:val="1"/>
      <w:marLeft w:val="0"/>
      <w:marRight w:val="0"/>
      <w:marTop w:val="0"/>
      <w:marBottom w:val="0"/>
      <w:divBdr>
        <w:top w:val="none" w:sz="0" w:space="0" w:color="auto"/>
        <w:left w:val="none" w:sz="0" w:space="0" w:color="auto"/>
        <w:bottom w:val="none" w:sz="0" w:space="0" w:color="auto"/>
        <w:right w:val="none" w:sz="0" w:space="0" w:color="auto"/>
      </w:divBdr>
    </w:div>
    <w:div w:id="101414952">
      <w:bodyDiv w:val="1"/>
      <w:marLeft w:val="0"/>
      <w:marRight w:val="0"/>
      <w:marTop w:val="0"/>
      <w:marBottom w:val="0"/>
      <w:divBdr>
        <w:top w:val="none" w:sz="0" w:space="0" w:color="auto"/>
        <w:left w:val="none" w:sz="0" w:space="0" w:color="auto"/>
        <w:bottom w:val="none" w:sz="0" w:space="0" w:color="auto"/>
        <w:right w:val="none" w:sz="0" w:space="0" w:color="auto"/>
      </w:divBdr>
    </w:div>
    <w:div w:id="677581516">
      <w:bodyDiv w:val="1"/>
      <w:marLeft w:val="0"/>
      <w:marRight w:val="0"/>
      <w:marTop w:val="0"/>
      <w:marBottom w:val="0"/>
      <w:divBdr>
        <w:top w:val="none" w:sz="0" w:space="0" w:color="auto"/>
        <w:left w:val="none" w:sz="0" w:space="0" w:color="auto"/>
        <w:bottom w:val="none" w:sz="0" w:space="0" w:color="auto"/>
        <w:right w:val="none" w:sz="0" w:space="0" w:color="auto"/>
      </w:divBdr>
    </w:div>
    <w:div w:id="1292982009">
      <w:bodyDiv w:val="1"/>
      <w:marLeft w:val="0"/>
      <w:marRight w:val="0"/>
      <w:marTop w:val="0"/>
      <w:marBottom w:val="0"/>
      <w:divBdr>
        <w:top w:val="none" w:sz="0" w:space="0" w:color="auto"/>
        <w:left w:val="none" w:sz="0" w:space="0" w:color="auto"/>
        <w:bottom w:val="none" w:sz="0" w:space="0" w:color="auto"/>
        <w:right w:val="none" w:sz="0" w:space="0" w:color="auto"/>
      </w:divBdr>
    </w:div>
    <w:div w:id="165807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bc-zagreb.hr/83-referentna-centra.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93E27-3E93-40EC-825D-68F2E275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18</Pages>
  <Words>6706</Words>
  <Characters>38227</Characters>
  <Application>Microsoft Office Word</Application>
  <DocSecurity>0</DocSecurity>
  <Lines>318</Lines>
  <Paragraphs>89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Brozić Puček</dc:creator>
  <cp:keywords/>
  <dc:description/>
  <cp:lastModifiedBy>TOMIĆ HELENA</cp:lastModifiedBy>
  <cp:revision>351</cp:revision>
  <dcterms:created xsi:type="dcterms:W3CDTF">2022-09-22T13:38:00Z</dcterms:created>
  <dcterms:modified xsi:type="dcterms:W3CDTF">2024-03-26T09:58:00Z</dcterms:modified>
</cp:coreProperties>
</file>